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7B104" w14:textId="6B6E5C7E" w:rsidR="00663B08" w:rsidRDefault="00663B08" w:rsidP="00663B08">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 xml:space="preserve"> 11</w:t>
      </w:r>
      <w:r>
        <w:rPr>
          <w:b/>
          <w:noProof/>
          <w:sz w:val="24"/>
          <w:lang w:eastAsia="zh-CN"/>
        </w:rPr>
        <w:t>6</w:t>
      </w:r>
      <w:r>
        <w:rPr>
          <w:b/>
          <w:i/>
          <w:noProof/>
          <w:sz w:val="28"/>
        </w:rPr>
        <w:tab/>
      </w:r>
      <w:r w:rsidR="00C07680" w:rsidRPr="00C07680">
        <w:rPr>
          <w:b/>
          <w:i/>
          <w:noProof/>
          <w:sz w:val="28"/>
          <w:lang w:eastAsia="zh-CN"/>
        </w:rPr>
        <w:t>R4-2509504</w:t>
      </w:r>
    </w:p>
    <w:p w14:paraId="785EBC78" w14:textId="77777777" w:rsidR="00663B08" w:rsidRPr="00734051" w:rsidRDefault="00663B08" w:rsidP="00663B08">
      <w:pPr>
        <w:pStyle w:val="CRCoverPage"/>
        <w:outlineLvl w:val="0"/>
        <w:rPr>
          <w:b/>
          <w:noProof/>
          <w:sz w:val="24"/>
        </w:rPr>
      </w:pPr>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p>
    <w:p w14:paraId="3B70174D" w14:textId="77777777" w:rsidR="00345251" w:rsidRPr="00772D37" w:rsidRDefault="00345251" w:rsidP="00772D37">
      <w:pPr>
        <w:rPr>
          <w:rFonts w:eastAsia="SimSun"/>
        </w:rPr>
      </w:pPr>
    </w:p>
    <w:p w14:paraId="038E9536" w14:textId="4534E35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0A28AE">
        <w:rPr>
          <w:rFonts w:ascii="Arial" w:hAnsi="Arial" w:cs="Arial"/>
          <w:b/>
          <w:sz w:val="22"/>
          <w:szCs w:val="22"/>
        </w:rPr>
        <w:t>7.1</w:t>
      </w:r>
      <w:r w:rsidR="00663B08">
        <w:rPr>
          <w:rFonts w:ascii="Arial" w:hAnsi="Arial" w:cs="Arial"/>
          <w:b/>
          <w:sz w:val="22"/>
          <w:szCs w:val="22"/>
        </w:rPr>
        <w:t>4</w:t>
      </w:r>
      <w:r w:rsidR="000A28AE">
        <w:rPr>
          <w:rFonts w:ascii="Arial" w:hAnsi="Arial" w:cs="Arial"/>
          <w:b/>
          <w:sz w:val="22"/>
          <w:szCs w:val="22"/>
        </w:rPr>
        <w:t>.</w:t>
      </w:r>
      <w:r w:rsidR="009715AE">
        <w:rPr>
          <w:rFonts w:ascii="Arial" w:hAnsi="Arial" w:cs="Arial"/>
          <w:b/>
          <w:sz w:val="22"/>
          <w:szCs w:val="22"/>
        </w:rPr>
        <w:t>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0E460A6"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715AE" w:rsidRPr="009715AE">
        <w:rPr>
          <w:rFonts w:ascii="Arial" w:hAnsi="Arial" w:cs="Arial"/>
          <w:b/>
          <w:sz w:val="22"/>
          <w:szCs w:val="22"/>
        </w:rPr>
        <w:t>On feature list for RRM phase 5 WI</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9354B3" w14:textId="765B0431" w:rsidR="000C206A" w:rsidRDefault="00475371" w:rsidP="006B12F3">
      <w:pPr>
        <w:jc w:val="both"/>
      </w:pPr>
      <w:r>
        <w:rPr>
          <w:rFonts w:hint="eastAsia"/>
        </w:rPr>
        <w:t>In</w:t>
      </w:r>
      <w:r>
        <w:t xml:space="preserve"> this contribution, we discuss</w:t>
      </w:r>
      <w:r w:rsidR="009715AE">
        <w:t xml:space="preserve"> the UE capability and feature groups for RRM phase 5 WI</w:t>
      </w:r>
      <w:r>
        <w:t xml:space="preserve">. </w:t>
      </w:r>
    </w:p>
    <w:p w14:paraId="62C2D738" w14:textId="1A4B05CC" w:rsidR="009715AE" w:rsidRDefault="009715AE" w:rsidP="009715AE">
      <w:pPr>
        <w:pStyle w:val="Heading1"/>
        <w:numPr>
          <w:ilvl w:val="0"/>
          <w:numId w:val="10"/>
        </w:numPr>
        <w:pBdr>
          <w:top w:val="single" w:sz="12" w:space="2" w:color="auto"/>
        </w:pBdr>
        <w:jc w:val="both"/>
        <w:rPr>
          <w:sz w:val="32"/>
        </w:rPr>
      </w:pPr>
      <w:r>
        <w:rPr>
          <w:sz w:val="32"/>
        </w:rPr>
        <w:t>Detailed design for c</w:t>
      </w:r>
      <w:r w:rsidRPr="0011401A">
        <w:rPr>
          <w:sz w:val="32"/>
        </w:rPr>
        <w:t xml:space="preserve">apability of </w:t>
      </w:r>
      <w:r>
        <w:rPr>
          <w:sz w:val="32"/>
        </w:rPr>
        <w:t>BSF</w:t>
      </w:r>
      <w:r w:rsidRPr="0011401A">
        <w:rPr>
          <w:sz w:val="32"/>
        </w:rPr>
        <w:t xml:space="preserve"> enhancement</w:t>
      </w:r>
    </w:p>
    <w:p w14:paraId="01C8D0E9" w14:textId="7D2F296B" w:rsidR="00674824" w:rsidRDefault="00224323" w:rsidP="009715AE">
      <w:r>
        <w:t>In the last meeting, the following WF was agreed:</w:t>
      </w:r>
    </w:p>
    <w:tbl>
      <w:tblPr>
        <w:tblStyle w:val="TableGrid"/>
        <w:tblpPr w:leftFromText="180" w:rightFromText="180" w:vertAnchor="text" w:horzAnchor="margin" w:tblpY="486"/>
        <w:tblW w:w="0" w:type="auto"/>
        <w:tblLook w:val="04A0" w:firstRow="1" w:lastRow="0" w:firstColumn="1" w:lastColumn="0" w:noHBand="0" w:noVBand="1"/>
      </w:tblPr>
      <w:tblGrid>
        <w:gridCol w:w="9629"/>
      </w:tblGrid>
      <w:tr w:rsidR="00224323" w14:paraId="5754C83F" w14:textId="77777777" w:rsidTr="0070351D">
        <w:tc>
          <w:tcPr>
            <w:tcW w:w="9629" w:type="dxa"/>
          </w:tcPr>
          <w:p w14:paraId="2B8C66CF" w14:textId="77777777" w:rsidR="00224323" w:rsidRPr="005022E9" w:rsidRDefault="00224323" w:rsidP="0070351D">
            <w:pPr>
              <w:pStyle w:val="Heading2"/>
              <w:rPr>
                <w:rFonts w:eastAsiaTheme="minorEastAsia"/>
                <w:sz w:val="24"/>
                <w:szCs w:val="16"/>
                <w:lang w:val="en-US"/>
              </w:rPr>
            </w:pPr>
            <w:r>
              <w:rPr>
                <w:sz w:val="24"/>
                <w:szCs w:val="16"/>
                <w:lang w:val="en-US"/>
              </w:rPr>
              <w:t>Sub-topic 1-</w:t>
            </w:r>
            <w:r>
              <w:rPr>
                <w:rFonts w:eastAsia="SimSun" w:hint="eastAsia"/>
                <w:sz w:val="24"/>
                <w:szCs w:val="16"/>
                <w:lang w:val="en-US"/>
              </w:rPr>
              <w:t>1</w:t>
            </w:r>
            <w:r>
              <w:rPr>
                <w:rFonts w:hint="eastAsia"/>
                <w:sz w:val="24"/>
                <w:szCs w:val="16"/>
                <w:lang w:val="en-US"/>
              </w:rPr>
              <w:t xml:space="preserve"> </w:t>
            </w:r>
            <w:r w:rsidRPr="00887EA2">
              <w:rPr>
                <w:rFonts w:eastAsiaTheme="minorEastAsia"/>
                <w:sz w:val="24"/>
                <w:szCs w:val="16"/>
                <w:lang w:val="en-US"/>
              </w:rPr>
              <w:t>RRM core requirements for FR2-1 L3 measurement delay by optimizing Rx BSF</w:t>
            </w:r>
          </w:p>
          <w:p w14:paraId="66CA29DD" w14:textId="77777777" w:rsidR="00224323" w:rsidRDefault="00224323" w:rsidP="0070351D">
            <w:pPr>
              <w:rPr>
                <w:rFonts w:eastAsiaTheme="minorEastAsia"/>
                <w:sz w:val="21"/>
                <w:u w:val="single"/>
              </w:rPr>
            </w:pPr>
          </w:p>
          <w:p w14:paraId="74B4E597" w14:textId="77777777" w:rsidR="00224323" w:rsidRPr="005022E9" w:rsidRDefault="00224323" w:rsidP="0070351D">
            <w:pPr>
              <w:pStyle w:val="Heading3"/>
              <w:rPr>
                <w:rFonts w:eastAsiaTheme="minorEastAsia"/>
                <w:sz w:val="21"/>
                <w:u w:val="single"/>
              </w:rPr>
            </w:pPr>
            <w:r w:rsidRPr="006C0F2E">
              <w:rPr>
                <w:rFonts w:eastAsiaTheme="minorEastAsia"/>
                <w:sz w:val="21"/>
                <w:u w:val="single"/>
                <w:lang w:val="en-US"/>
              </w:rPr>
              <w:t xml:space="preserve">Issue 1-1-3: </w:t>
            </w:r>
            <w:r w:rsidRPr="008C31B6">
              <w:rPr>
                <w:rFonts w:eastAsiaTheme="minorEastAsia"/>
                <w:sz w:val="21"/>
                <w:u w:val="single"/>
                <w:lang w:val="en-US"/>
              </w:rPr>
              <w:t>UE capability for Rx BSF optimization</w:t>
            </w:r>
          </w:p>
          <w:p w14:paraId="5AD8B7AF" w14:textId="77777777" w:rsidR="00224323" w:rsidRDefault="00224323" w:rsidP="0070351D">
            <w:pPr>
              <w:snapToGrid w:val="0"/>
              <w:spacing w:after="120"/>
              <w:rPr>
                <w:rFonts w:eastAsia="SimSun"/>
                <w:sz w:val="21"/>
                <w:szCs w:val="21"/>
                <w:highlight w:val="green"/>
              </w:rPr>
            </w:pPr>
            <w:r w:rsidRPr="00B83909">
              <w:rPr>
                <w:rFonts w:eastAsia="SimSun"/>
                <w:sz w:val="21"/>
                <w:szCs w:val="21"/>
                <w:highlight w:val="green"/>
              </w:rPr>
              <w:t>Agreement:</w:t>
            </w:r>
          </w:p>
          <w:p w14:paraId="470B88B8" w14:textId="77777777" w:rsidR="00224323" w:rsidRPr="0054506F" w:rsidRDefault="00224323" w:rsidP="0070351D">
            <w:pPr>
              <w:snapToGrid w:val="0"/>
              <w:spacing w:after="120"/>
              <w:rPr>
                <w:rFonts w:eastAsia="SimSun"/>
                <w:sz w:val="21"/>
                <w:szCs w:val="21"/>
              </w:rPr>
            </w:pPr>
            <w:r w:rsidRPr="0054506F">
              <w:rPr>
                <w:rFonts w:eastAsia="SimSun" w:hint="eastAsia"/>
                <w:sz w:val="21"/>
                <w:szCs w:val="21"/>
              </w:rPr>
              <w:t>F</w:t>
            </w:r>
            <w:r w:rsidRPr="0054506F">
              <w:rPr>
                <w:rFonts w:eastAsia="SimSun"/>
                <w:sz w:val="21"/>
                <w:szCs w:val="21"/>
              </w:rPr>
              <w:t>or FBS capability design:</w:t>
            </w:r>
          </w:p>
          <w:p w14:paraId="2088D403" w14:textId="77777777" w:rsidR="00224323" w:rsidRPr="0054506F" w:rsidRDefault="00224323" w:rsidP="0070351D">
            <w:pPr>
              <w:pStyle w:val="ListParagraph"/>
              <w:widowControl/>
              <w:numPr>
                <w:ilvl w:val="1"/>
                <w:numId w:val="47"/>
              </w:numPr>
              <w:autoSpaceDE/>
              <w:autoSpaceDN/>
              <w:adjustRightInd/>
              <w:snapToGrid w:val="0"/>
              <w:spacing w:before="0" w:beforeAutospacing="0" w:after="120" w:line="240" w:lineRule="auto"/>
              <w:ind w:left="1080" w:firstLineChars="0"/>
            </w:pPr>
            <w:r w:rsidRPr="0054506F">
              <w:rPr>
                <w:bCs/>
                <w:iCs/>
              </w:rPr>
              <w:lastRenderedPageBreak/>
              <w:t>UE capability is per-band and optional</w:t>
            </w:r>
          </w:p>
          <w:p w14:paraId="3C3A3069" w14:textId="77777777" w:rsidR="00224323" w:rsidRPr="0054506F" w:rsidRDefault="00224323" w:rsidP="0070351D">
            <w:pPr>
              <w:pStyle w:val="ListParagraph"/>
              <w:widowControl/>
              <w:numPr>
                <w:ilvl w:val="1"/>
                <w:numId w:val="47"/>
              </w:numPr>
              <w:overflowPunct w:val="0"/>
              <w:snapToGrid w:val="0"/>
              <w:spacing w:before="0" w:beforeAutospacing="0" w:after="120" w:line="240" w:lineRule="auto"/>
              <w:ind w:left="1080" w:firstLineChars="0"/>
              <w:textAlignment w:val="baseline"/>
              <w:rPr>
                <w:bCs/>
                <w:iCs/>
              </w:rPr>
            </w:pPr>
            <w:r w:rsidRPr="0054506F">
              <w:rPr>
                <w:bCs/>
                <w:iCs/>
              </w:rPr>
              <w:t>TDD only</w:t>
            </w:r>
          </w:p>
          <w:p w14:paraId="1F600443" w14:textId="77777777" w:rsidR="00224323" w:rsidRPr="0054506F" w:rsidRDefault="00224323" w:rsidP="0070351D">
            <w:pPr>
              <w:pStyle w:val="ListParagraph"/>
              <w:widowControl/>
              <w:numPr>
                <w:ilvl w:val="1"/>
                <w:numId w:val="47"/>
              </w:numPr>
              <w:overflowPunct w:val="0"/>
              <w:snapToGrid w:val="0"/>
              <w:spacing w:before="0" w:beforeAutospacing="0" w:after="120" w:line="240" w:lineRule="auto"/>
              <w:ind w:left="1080" w:firstLineChars="0"/>
              <w:textAlignment w:val="baseline"/>
              <w:rPr>
                <w:bCs/>
                <w:iCs/>
              </w:rPr>
            </w:pPr>
            <w:r w:rsidRPr="0054506F">
              <w:rPr>
                <w:bCs/>
                <w:iCs/>
              </w:rPr>
              <w:t>FR2-1 only</w:t>
            </w:r>
          </w:p>
          <w:p w14:paraId="41904932" w14:textId="77777777" w:rsidR="00224323" w:rsidRPr="006D7721" w:rsidRDefault="00224323" w:rsidP="0070351D">
            <w:pPr>
              <w:pStyle w:val="ListParagraph"/>
              <w:widowControl/>
              <w:numPr>
                <w:ilvl w:val="1"/>
                <w:numId w:val="47"/>
              </w:numPr>
              <w:autoSpaceDE/>
              <w:autoSpaceDN/>
              <w:adjustRightInd/>
              <w:snapToGrid w:val="0"/>
              <w:spacing w:before="0" w:beforeAutospacing="0" w:after="120" w:line="240" w:lineRule="auto"/>
              <w:ind w:left="1080" w:firstLineChars="0"/>
            </w:pPr>
            <w:r w:rsidRPr="00CB1DB8">
              <w:rPr>
                <w:highlight w:val="yellow"/>
              </w:rPr>
              <w:t>FFS</w:t>
            </w:r>
            <w:r w:rsidRPr="0054506F">
              <w:t>: in the same FG, whether to define separate UE capability for (intra-frequency) and (intra-frequency + inter-frequency)</w:t>
            </w:r>
          </w:p>
        </w:tc>
      </w:tr>
    </w:tbl>
    <w:p w14:paraId="3F743485" w14:textId="77777777" w:rsidR="00224323" w:rsidRDefault="00224323" w:rsidP="009715AE"/>
    <w:p w14:paraId="2838F258" w14:textId="77777777" w:rsidR="00224323" w:rsidRDefault="00224323" w:rsidP="009715AE"/>
    <w:p w14:paraId="6DF75CC5" w14:textId="77777777" w:rsidR="00224323" w:rsidRDefault="00224323" w:rsidP="009715AE"/>
    <w:p w14:paraId="575626D9" w14:textId="77777777" w:rsidR="00224323" w:rsidRDefault="00224323" w:rsidP="009715AE"/>
    <w:p w14:paraId="0A3C56EB" w14:textId="3A60C523" w:rsidR="00224323" w:rsidRDefault="00224323" w:rsidP="009715AE">
      <w:r>
        <w:t xml:space="preserve">As analyzed in our contribution on BSF, we see no strong need to define separate UE capability for </w:t>
      </w:r>
      <w:r w:rsidRPr="00224323">
        <w:t>(intra-frequency) and (intra-frequency + inter-frequency)</w:t>
      </w:r>
      <w:r>
        <w:t>. Therefore, the following capability is proposed:</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70"/>
        <w:gridCol w:w="936"/>
        <w:gridCol w:w="831"/>
        <w:gridCol w:w="936"/>
        <w:gridCol w:w="936"/>
        <w:gridCol w:w="1250"/>
        <w:gridCol w:w="884"/>
        <w:gridCol w:w="988"/>
        <w:gridCol w:w="831"/>
        <w:gridCol w:w="1354"/>
        <w:gridCol w:w="936"/>
        <w:gridCol w:w="1913"/>
        <w:gridCol w:w="1207"/>
      </w:tblGrid>
      <w:tr w:rsidR="00224323" w:rsidRPr="00224323" w14:paraId="0C8F0F9F" w14:textId="77777777" w:rsidTr="00224323">
        <w:trPr>
          <w:trHeight w:val="20"/>
        </w:trPr>
        <w:tc>
          <w:tcPr>
            <w:tcW w:w="1255" w:type="dxa"/>
          </w:tcPr>
          <w:p w14:paraId="1A6FCF07"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Features</w:t>
            </w:r>
          </w:p>
        </w:tc>
        <w:tc>
          <w:tcPr>
            <w:tcW w:w="810" w:type="dxa"/>
          </w:tcPr>
          <w:p w14:paraId="4E6604C7"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Index</w:t>
            </w:r>
          </w:p>
        </w:tc>
        <w:tc>
          <w:tcPr>
            <w:tcW w:w="1440" w:type="dxa"/>
          </w:tcPr>
          <w:p w14:paraId="3AD219D7"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Feature group</w:t>
            </w:r>
          </w:p>
        </w:tc>
        <w:tc>
          <w:tcPr>
            <w:tcW w:w="1260" w:type="dxa"/>
          </w:tcPr>
          <w:p w14:paraId="293614E3"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Components</w:t>
            </w:r>
          </w:p>
          <w:p w14:paraId="1ACC22C2" w14:textId="77777777" w:rsidR="00224323" w:rsidRPr="00224323" w:rsidRDefault="00224323" w:rsidP="0070351D">
            <w:pPr>
              <w:keepNext/>
              <w:keepLines/>
              <w:jc w:val="center"/>
              <w:rPr>
                <w:rFonts w:ascii="Arial" w:hAnsi="Arial" w:cs="Arial"/>
                <w:b/>
                <w:sz w:val="13"/>
                <w:szCs w:val="13"/>
              </w:rPr>
            </w:pPr>
          </w:p>
        </w:tc>
        <w:tc>
          <w:tcPr>
            <w:tcW w:w="1440" w:type="dxa"/>
          </w:tcPr>
          <w:p w14:paraId="245E1B3C"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Prerequisite feature groups</w:t>
            </w:r>
          </w:p>
        </w:tc>
        <w:tc>
          <w:tcPr>
            <w:tcW w:w="1440" w:type="dxa"/>
          </w:tcPr>
          <w:p w14:paraId="49478D76"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Need for the gNB to know if the feature is supported</w:t>
            </w:r>
          </w:p>
        </w:tc>
        <w:tc>
          <w:tcPr>
            <w:tcW w:w="1980" w:type="dxa"/>
          </w:tcPr>
          <w:p w14:paraId="590AB857"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Applicable to the capability signalling exchange between UEs (V2X WI only)”.</w:t>
            </w:r>
          </w:p>
        </w:tc>
        <w:tc>
          <w:tcPr>
            <w:tcW w:w="1350" w:type="dxa"/>
          </w:tcPr>
          <w:p w14:paraId="0B4EBE98" w14:textId="77777777" w:rsidR="00224323" w:rsidRPr="00224323" w:rsidRDefault="00224323" w:rsidP="00224323">
            <w:pPr>
              <w:keepNext/>
              <w:keepLines/>
              <w:jc w:val="center"/>
              <w:rPr>
                <w:rFonts w:ascii="Arial" w:hAnsi="Arial" w:cs="Arial"/>
                <w:b/>
                <w:sz w:val="13"/>
                <w:szCs w:val="13"/>
              </w:rPr>
            </w:pPr>
            <w:r w:rsidRPr="00224323">
              <w:rPr>
                <w:rFonts w:ascii="Arial" w:hAnsi="Arial" w:cs="Arial"/>
                <w:b/>
                <w:sz w:val="13"/>
                <w:szCs w:val="13"/>
              </w:rPr>
              <w:t>Consequence if the feature is not supported by the UE</w:t>
            </w:r>
          </w:p>
        </w:tc>
        <w:tc>
          <w:tcPr>
            <w:tcW w:w="1530" w:type="dxa"/>
          </w:tcPr>
          <w:p w14:paraId="66F290A7" w14:textId="77777777" w:rsidR="00224323" w:rsidRPr="00224323" w:rsidRDefault="00224323" w:rsidP="00224323">
            <w:pPr>
              <w:keepNext/>
              <w:keepLines/>
              <w:jc w:val="center"/>
              <w:rPr>
                <w:rFonts w:ascii="Arial" w:hAnsi="Arial" w:cs="Arial"/>
                <w:b/>
                <w:sz w:val="13"/>
                <w:szCs w:val="13"/>
              </w:rPr>
            </w:pPr>
            <w:r w:rsidRPr="00224323">
              <w:rPr>
                <w:rFonts w:ascii="Arial" w:hAnsi="Arial" w:cs="Arial"/>
                <w:b/>
                <w:sz w:val="13"/>
                <w:szCs w:val="13"/>
              </w:rPr>
              <w:t>Type</w:t>
            </w:r>
          </w:p>
          <w:p w14:paraId="02A442CB" w14:textId="77777777" w:rsidR="00224323" w:rsidRPr="00224323" w:rsidRDefault="00224323" w:rsidP="00224323">
            <w:pPr>
              <w:keepNext/>
              <w:keepLines/>
              <w:jc w:val="center"/>
              <w:rPr>
                <w:rFonts w:ascii="Arial" w:hAnsi="Arial" w:cs="Arial"/>
                <w:b/>
                <w:sz w:val="13"/>
                <w:szCs w:val="13"/>
              </w:rPr>
            </w:pPr>
            <w:r w:rsidRPr="00224323">
              <w:rPr>
                <w:rFonts w:ascii="Arial" w:hAnsi="Arial" w:cs="Arial"/>
                <w:b/>
                <w:sz w:val="13"/>
                <w:szCs w:val="13"/>
              </w:rPr>
              <w:t>(the ‘type’ definition from UE features should be based on the granularity of 1) Per UE or 2) Per Band or 3) Per BC or 4) Per FS or 5) Per FSPC)</w:t>
            </w:r>
          </w:p>
        </w:tc>
        <w:tc>
          <w:tcPr>
            <w:tcW w:w="1260" w:type="dxa"/>
          </w:tcPr>
          <w:p w14:paraId="72A31D57"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Need of FDD/TDD differentiation</w:t>
            </w:r>
          </w:p>
        </w:tc>
        <w:tc>
          <w:tcPr>
            <w:tcW w:w="2160" w:type="dxa"/>
          </w:tcPr>
          <w:p w14:paraId="76A98A44"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Need of FR1/FR2 differentiation</w:t>
            </w:r>
          </w:p>
        </w:tc>
        <w:tc>
          <w:tcPr>
            <w:tcW w:w="1440" w:type="dxa"/>
          </w:tcPr>
          <w:p w14:paraId="612A469E"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Capability interpretation for mixture of FDD/TDD and/or FR1/FR2</w:t>
            </w:r>
          </w:p>
        </w:tc>
        <w:tc>
          <w:tcPr>
            <w:tcW w:w="3121" w:type="dxa"/>
          </w:tcPr>
          <w:p w14:paraId="2DE3F53D"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Note</w:t>
            </w:r>
          </w:p>
        </w:tc>
        <w:tc>
          <w:tcPr>
            <w:tcW w:w="1906" w:type="dxa"/>
          </w:tcPr>
          <w:p w14:paraId="1D43F6D6" w14:textId="77777777" w:rsidR="00224323" w:rsidRPr="00224323" w:rsidRDefault="00224323" w:rsidP="0070351D">
            <w:pPr>
              <w:keepNext/>
              <w:keepLines/>
              <w:jc w:val="center"/>
              <w:rPr>
                <w:rFonts w:ascii="Arial" w:hAnsi="Arial" w:cs="Arial"/>
                <w:b/>
                <w:sz w:val="13"/>
                <w:szCs w:val="13"/>
              </w:rPr>
            </w:pPr>
            <w:r w:rsidRPr="00224323">
              <w:rPr>
                <w:rFonts w:ascii="Arial" w:hAnsi="Arial" w:cs="Arial"/>
                <w:b/>
                <w:sz w:val="13"/>
                <w:szCs w:val="13"/>
              </w:rPr>
              <w:t>Mandatory/Optional</w:t>
            </w:r>
          </w:p>
        </w:tc>
      </w:tr>
      <w:tr w:rsidR="00224323" w:rsidRPr="00224323" w14:paraId="434ABEC0" w14:textId="77777777" w:rsidTr="00224323">
        <w:trPr>
          <w:trHeight w:val="20"/>
        </w:trPr>
        <w:tc>
          <w:tcPr>
            <w:tcW w:w="1255" w:type="dxa"/>
          </w:tcPr>
          <w:p w14:paraId="507FADCA" w14:textId="77777777" w:rsidR="00224323" w:rsidRPr="00224323" w:rsidRDefault="00224323" w:rsidP="00224323">
            <w:pPr>
              <w:keepNext/>
              <w:keepLines/>
              <w:jc w:val="center"/>
              <w:rPr>
                <w:rFonts w:ascii="Arial" w:hAnsi="Arial" w:cs="Arial"/>
                <w:bCs/>
                <w:sz w:val="13"/>
                <w:szCs w:val="13"/>
              </w:rPr>
            </w:pPr>
            <w:r w:rsidRPr="00224323">
              <w:rPr>
                <w:rFonts w:ascii="Arial" w:hAnsi="Arial" w:cs="Arial"/>
                <w:bCs/>
                <w:sz w:val="13"/>
                <w:szCs w:val="13"/>
              </w:rPr>
              <w:t>49</w:t>
            </w:r>
            <w:r w:rsidRPr="00224323">
              <w:rPr>
                <w:rFonts w:ascii="Arial" w:hAnsi="Arial" w:cs="Arial" w:hint="eastAsia"/>
                <w:bCs/>
                <w:sz w:val="13"/>
                <w:szCs w:val="13"/>
              </w:rPr>
              <w:t xml:space="preserve">. </w:t>
            </w:r>
            <w:r w:rsidRPr="00224323">
              <w:rPr>
                <w:rFonts w:ascii="Arial" w:hAnsi="Arial" w:cs="Arial"/>
                <w:bCs/>
                <w:sz w:val="13"/>
                <w:szCs w:val="13"/>
              </w:rPr>
              <w:t>NR_RRM_Ph5</w:t>
            </w:r>
          </w:p>
          <w:p w14:paraId="4D3B1080" w14:textId="77777777" w:rsidR="00224323" w:rsidRPr="00224323" w:rsidRDefault="00224323" w:rsidP="00224323">
            <w:pPr>
              <w:keepNext/>
              <w:keepLines/>
              <w:jc w:val="center"/>
              <w:rPr>
                <w:rFonts w:ascii="Arial" w:hAnsi="Arial" w:cs="Arial"/>
                <w:bCs/>
                <w:sz w:val="13"/>
                <w:szCs w:val="13"/>
              </w:rPr>
            </w:pPr>
          </w:p>
        </w:tc>
        <w:tc>
          <w:tcPr>
            <w:tcW w:w="810" w:type="dxa"/>
          </w:tcPr>
          <w:p w14:paraId="6DF4CA7A" w14:textId="77777777" w:rsidR="00224323" w:rsidRPr="00224323" w:rsidRDefault="00224323" w:rsidP="0070351D">
            <w:pPr>
              <w:keepNext/>
              <w:keepLines/>
              <w:jc w:val="center"/>
              <w:rPr>
                <w:rFonts w:ascii="Arial" w:hAnsi="Arial" w:cs="Arial"/>
                <w:bCs/>
                <w:sz w:val="13"/>
                <w:szCs w:val="13"/>
              </w:rPr>
            </w:pPr>
            <w:r w:rsidRPr="00224323">
              <w:rPr>
                <w:rFonts w:ascii="Arial" w:hAnsi="Arial" w:cs="Arial"/>
                <w:bCs/>
                <w:sz w:val="13"/>
                <w:szCs w:val="13"/>
              </w:rPr>
              <w:t>49</w:t>
            </w:r>
            <w:r w:rsidRPr="00224323">
              <w:rPr>
                <w:rFonts w:ascii="Arial" w:hAnsi="Arial" w:cs="Arial" w:hint="eastAsia"/>
                <w:bCs/>
                <w:sz w:val="13"/>
                <w:szCs w:val="13"/>
              </w:rPr>
              <w:t>-1</w:t>
            </w:r>
          </w:p>
        </w:tc>
        <w:tc>
          <w:tcPr>
            <w:tcW w:w="1440" w:type="dxa"/>
          </w:tcPr>
          <w:p w14:paraId="63088B33" w14:textId="77777777" w:rsidR="00224323" w:rsidRPr="00224323" w:rsidRDefault="00224323" w:rsidP="00224323">
            <w:pPr>
              <w:keepNext/>
              <w:keepLines/>
              <w:jc w:val="center"/>
              <w:rPr>
                <w:rFonts w:ascii="Arial" w:hAnsi="Arial" w:cs="Arial"/>
                <w:bCs/>
                <w:sz w:val="13"/>
                <w:szCs w:val="13"/>
              </w:rPr>
            </w:pPr>
            <w:r w:rsidRPr="00224323">
              <w:rPr>
                <w:rFonts w:ascii="Arial" w:hAnsi="Arial" w:cs="Arial"/>
                <w:bCs/>
                <w:sz w:val="13"/>
                <w:szCs w:val="13"/>
              </w:rPr>
              <w:t>Fast Rx beam sweeping for FR2-1 L3 measurement delay reduction</w:t>
            </w:r>
          </w:p>
        </w:tc>
        <w:tc>
          <w:tcPr>
            <w:tcW w:w="1260" w:type="dxa"/>
          </w:tcPr>
          <w:p w14:paraId="59D11E7C" w14:textId="77777777" w:rsidR="00224323" w:rsidRPr="00224323" w:rsidRDefault="00224323" w:rsidP="00224323">
            <w:pPr>
              <w:keepNext/>
              <w:keepLines/>
              <w:jc w:val="center"/>
              <w:rPr>
                <w:rFonts w:ascii="Arial" w:hAnsi="Arial" w:cs="Arial"/>
                <w:bCs/>
                <w:sz w:val="13"/>
                <w:szCs w:val="13"/>
              </w:rPr>
            </w:pPr>
            <w:r w:rsidRPr="00224323">
              <w:rPr>
                <w:rFonts w:ascii="Arial" w:hAnsi="Arial" w:cs="Arial"/>
                <w:bCs/>
                <w:sz w:val="13"/>
                <w:szCs w:val="13"/>
              </w:rPr>
              <w:t>Supports beam sweeping factor reduction for L3 measurement for FR2-1.</w:t>
            </w:r>
          </w:p>
        </w:tc>
        <w:tc>
          <w:tcPr>
            <w:tcW w:w="1440" w:type="dxa"/>
          </w:tcPr>
          <w:p w14:paraId="468B57A8" w14:textId="77777777" w:rsidR="00224323" w:rsidRPr="00224323" w:rsidRDefault="00224323" w:rsidP="0070351D">
            <w:pPr>
              <w:keepNext/>
              <w:keepLines/>
              <w:jc w:val="center"/>
              <w:rPr>
                <w:rFonts w:ascii="Arial" w:hAnsi="Arial" w:cs="Arial"/>
                <w:bCs/>
                <w:sz w:val="13"/>
                <w:szCs w:val="13"/>
              </w:rPr>
            </w:pPr>
          </w:p>
        </w:tc>
        <w:tc>
          <w:tcPr>
            <w:tcW w:w="1440" w:type="dxa"/>
          </w:tcPr>
          <w:p w14:paraId="6AAEB559" w14:textId="77777777" w:rsidR="00224323" w:rsidRPr="00224323" w:rsidRDefault="00224323" w:rsidP="0070351D">
            <w:pPr>
              <w:keepNext/>
              <w:keepLines/>
              <w:jc w:val="center"/>
              <w:rPr>
                <w:rFonts w:ascii="Arial" w:hAnsi="Arial" w:cs="Arial"/>
                <w:bCs/>
                <w:sz w:val="13"/>
                <w:szCs w:val="13"/>
              </w:rPr>
            </w:pPr>
            <w:r w:rsidRPr="00224323">
              <w:rPr>
                <w:rFonts w:ascii="Arial" w:hAnsi="Arial" w:cs="Arial"/>
                <w:bCs/>
                <w:sz w:val="13"/>
                <w:szCs w:val="13"/>
              </w:rPr>
              <w:t>Yes</w:t>
            </w:r>
          </w:p>
        </w:tc>
        <w:tc>
          <w:tcPr>
            <w:tcW w:w="1980" w:type="dxa"/>
          </w:tcPr>
          <w:p w14:paraId="4B70180F" w14:textId="77777777" w:rsidR="00224323" w:rsidRPr="00224323" w:rsidRDefault="00224323" w:rsidP="0070351D">
            <w:pPr>
              <w:keepNext/>
              <w:keepLines/>
              <w:jc w:val="center"/>
              <w:rPr>
                <w:rFonts w:ascii="Arial" w:hAnsi="Arial" w:cs="Arial"/>
                <w:bCs/>
                <w:sz w:val="13"/>
                <w:szCs w:val="13"/>
              </w:rPr>
            </w:pPr>
            <w:r w:rsidRPr="00224323">
              <w:rPr>
                <w:rFonts w:ascii="Arial" w:hAnsi="Arial" w:cs="Arial"/>
                <w:bCs/>
                <w:sz w:val="13"/>
                <w:szCs w:val="13"/>
              </w:rPr>
              <w:t>N/A</w:t>
            </w:r>
          </w:p>
          <w:p w14:paraId="2657D38A" w14:textId="77777777" w:rsidR="00224323" w:rsidRPr="00224323" w:rsidRDefault="00224323" w:rsidP="00224323">
            <w:pPr>
              <w:keepNext/>
              <w:keepLines/>
              <w:jc w:val="center"/>
              <w:rPr>
                <w:rFonts w:ascii="Arial" w:hAnsi="Arial" w:cs="Arial"/>
                <w:bCs/>
                <w:sz w:val="13"/>
                <w:szCs w:val="13"/>
              </w:rPr>
            </w:pPr>
          </w:p>
        </w:tc>
        <w:tc>
          <w:tcPr>
            <w:tcW w:w="1350" w:type="dxa"/>
          </w:tcPr>
          <w:p w14:paraId="125B11AE" w14:textId="77777777" w:rsidR="00224323" w:rsidRPr="00224323" w:rsidRDefault="00224323" w:rsidP="00224323">
            <w:pPr>
              <w:keepNext/>
              <w:keepLines/>
              <w:jc w:val="center"/>
              <w:rPr>
                <w:rFonts w:ascii="Arial" w:hAnsi="Arial" w:cs="Arial"/>
                <w:bCs/>
                <w:sz w:val="13"/>
                <w:szCs w:val="13"/>
              </w:rPr>
            </w:pPr>
          </w:p>
        </w:tc>
        <w:tc>
          <w:tcPr>
            <w:tcW w:w="1530" w:type="dxa"/>
          </w:tcPr>
          <w:p w14:paraId="4AC1EAB2" w14:textId="77777777" w:rsidR="00224323" w:rsidRPr="00224323" w:rsidRDefault="00224323" w:rsidP="00224323">
            <w:pPr>
              <w:keepNext/>
              <w:keepLines/>
              <w:jc w:val="center"/>
              <w:rPr>
                <w:rFonts w:ascii="Arial" w:hAnsi="Arial" w:cs="Arial"/>
                <w:bCs/>
                <w:sz w:val="13"/>
                <w:szCs w:val="13"/>
              </w:rPr>
            </w:pPr>
            <w:r w:rsidRPr="00224323">
              <w:rPr>
                <w:rFonts w:ascii="Arial" w:hAnsi="Arial" w:cs="Arial"/>
                <w:bCs/>
                <w:sz w:val="13"/>
                <w:szCs w:val="13"/>
              </w:rPr>
              <w:t>Per band</w:t>
            </w:r>
          </w:p>
        </w:tc>
        <w:tc>
          <w:tcPr>
            <w:tcW w:w="1260" w:type="dxa"/>
          </w:tcPr>
          <w:p w14:paraId="0C558822" w14:textId="77777777" w:rsidR="00224323" w:rsidRPr="00224323" w:rsidRDefault="00224323" w:rsidP="0070351D">
            <w:pPr>
              <w:keepNext/>
              <w:keepLines/>
              <w:jc w:val="center"/>
              <w:rPr>
                <w:rFonts w:ascii="Arial" w:hAnsi="Arial" w:cs="Arial"/>
                <w:bCs/>
                <w:sz w:val="13"/>
                <w:szCs w:val="13"/>
              </w:rPr>
            </w:pPr>
            <w:r w:rsidRPr="00224323">
              <w:rPr>
                <w:rFonts w:ascii="Arial" w:hAnsi="Arial" w:cs="Arial"/>
                <w:bCs/>
                <w:sz w:val="13"/>
                <w:szCs w:val="13"/>
              </w:rPr>
              <w:t>TDD only</w:t>
            </w:r>
          </w:p>
        </w:tc>
        <w:tc>
          <w:tcPr>
            <w:tcW w:w="2160" w:type="dxa"/>
          </w:tcPr>
          <w:p w14:paraId="48542F2E" w14:textId="77777777" w:rsidR="00224323" w:rsidRPr="00224323" w:rsidRDefault="00224323" w:rsidP="0070351D">
            <w:pPr>
              <w:keepNext/>
              <w:keepLines/>
              <w:jc w:val="center"/>
              <w:rPr>
                <w:rFonts w:ascii="Arial" w:hAnsi="Arial" w:cs="Arial"/>
                <w:bCs/>
                <w:sz w:val="13"/>
                <w:szCs w:val="13"/>
              </w:rPr>
            </w:pPr>
            <w:r w:rsidRPr="00224323">
              <w:rPr>
                <w:rFonts w:ascii="Arial" w:hAnsi="Arial" w:cs="Arial"/>
                <w:bCs/>
                <w:sz w:val="13"/>
                <w:szCs w:val="13"/>
              </w:rPr>
              <w:t>FR2-1 only</w:t>
            </w:r>
          </w:p>
        </w:tc>
        <w:tc>
          <w:tcPr>
            <w:tcW w:w="1440" w:type="dxa"/>
          </w:tcPr>
          <w:p w14:paraId="60A2E5B4" w14:textId="77777777" w:rsidR="00224323" w:rsidRPr="00224323" w:rsidRDefault="00224323" w:rsidP="0070351D">
            <w:pPr>
              <w:keepNext/>
              <w:keepLines/>
              <w:jc w:val="center"/>
              <w:rPr>
                <w:rFonts w:ascii="Arial" w:hAnsi="Arial" w:cs="Arial"/>
                <w:bCs/>
                <w:sz w:val="13"/>
                <w:szCs w:val="13"/>
              </w:rPr>
            </w:pPr>
          </w:p>
        </w:tc>
        <w:tc>
          <w:tcPr>
            <w:tcW w:w="3121" w:type="dxa"/>
          </w:tcPr>
          <w:p w14:paraId="64531D1B" w14:textId="77777777" w:rsidR="00224323" w:rsidRPr="00224323" w:rsidRDefault="00224323" w:rsidP="00224323">
            <w:pPr>
              <w:keepNext/>
              <w:keepLines/>
              <w:jc w:val="center"/>
              <w:rPr>
                <w:rFonts w:ascii="Arial" w:hAnsi="Arial" w:cs="Arial"/>
                <w:bCs/>
                <w:sz w:val="13"/>
                <w:szCs w:val="13"/>
              </w:rPr>
            </w:pPr>
            <w:r w:rsidRPr="00224323">
              <w:rPr>
                <w:rFonts w:ascii="Arial" w:hAnsi="Arial" w:cs="Arial"/>
                <w:bCs/>
                <w:sz w:val="13"/>
                <w:szCs w:val="13"/>
              </w:rPr>
              <w:t>Candidate values: {2,4,6} for FR2-1</w:t>
            </w:r>
          </w:p>
          <w:p w14:paraId="6390722B" w14:textId="77777777" w:rsidR="00224323" w:rsidRPr="00224323" w:rsidRDefault="00224323" w:rsidP="00224323">
            <w:pPr>
              <w:keepNext/>
              <w:keepLines/>
              <w:jc w:val="center"/>
              <w:rPr>
                <w:rFonts w:ascii="Arial" w:hAnsi="Arial" w:cs="Arial"/>
                <w:bCs/>
                <w:sz w:val="13"/>
                <w:szCs w:val="13"/>
              </w:rPr>
            </w:pPr>
          </w:p>
          <w:p w14:paraId="3778C1E6" w14:textId="77777777" w:rsidR="00224323" w:rsidRPr="00224323" w:rsidRDefault="00224323" w:rsidP="00224323">
            <w:pPr>
              <w:keepNext/>
              <w:keepLines/>
              <w:jc w:val="center"/>
              <w:rPr>
                <w:rFonts w:ascii="Arial" w:hAnsi="Arial" w:cs="Arial"/>
                <w:bCs/>
                <w:sz w:val="13"/>
                <w:szCs w:val="13"/>
              </w:rPr>
            </w:pPr>
            <w:r w:rsidRPr="00224323">
              <w:rPr>
                <w:rFonts w:ascii="Arial" w:hAnsi="Arial" w:cs="Arial"/>
                <w:bCs/>
                <w:sz w:val="13"/>
                <w:szCs w:val="13"/>
              </w:rPr>
              <w:t>Note: It is only supported for power class 3.</w:t>
            </w:r>
          </w:p>
        </w:tc>
        <w:tc>
          <w:tcPr>
            <w:tcW w:w="1906" w:type="dxa"/>
          </w:tcPr>
          <w:p w14:paraId="2EB36C13" w14:textId="77777777" w:rsidR="00224323" w:rsidRPr="00224323" w:rsidRDefault="00224323" w:rsidP="0070351D">
            <w:pPr>
              <w:keepNext/>
              <w:keepLines/>
              <w:jc w:val="center"/>
              <w:rPr>
                <w:rFonts w:ascii="Arial" w:hAnsi="Arial" w:cs="Arial"/>
                <w:bCs/>
                <w:sz w:val="13"/>
                <w:szCs w:val="13"/>
              </w:rPr>
            </w:pPr>
            <w:r w:rsidRPr="00224323">
              <w:rPr>
                <w:rFonts w:ascii="Arial" w:hAnsi="Arial" w:cs="Arial"/>
                <w:bCs/>
                <w:sz w:val="13"/>
                <w:szCs w:val="13"/>
              </w:rPr>
              <w:t>Optional with capability signalling</w:t>
            </w:r>
          </w:p>
        </w:tc>
      </w:tr>
    </w:tbl>
    <w:p w14:paraId="1C0BFC71" w14:textId="77777777" w:rsidR="00224323" w:rsidRPr="006D1C9C" w:rsidRDefault="00224323" w:rsidP="009715AE"/>
    <w:p w14:paraId="2CF866B1" w14:textId="69D6AA4E" w:rsidR="009715AE" w:rsidRPr="009715AE" w:rsidRDefault="009715AE" w:rsidP="009715AE">
      <w:pPr>
        <w:rPr>
          <w:lang w:val="en-GB"/>
        </w:rPr>
      </w:pPr>
    </w:p>
    <w:p w14:paraId="6ABCDF97" w14:textId="77777777" w:rsidR="009715AE" w:rsidRDefault="009715AE" w:rsidP="009715AE">
      <w:pPr>
        <w:pStyle w:val="Heading1"/>
        <w:numPr>
          <w:ilvl w:val="0"/>
          <w:numId w:val="10"/>
        </w:numPr>
        <w:pBdr>
          <w:top w:val="single" w:sz="12" w:space="2" w:color="auto"/>
        </w:pBdr>
        <w:jc w:val="both"/>
        <w:rPr>
          <w:sz w:val="32"/>
        </w:rPr>
      </w:pPr>
      <w:r>
        <w:rPr>
          <w:sz w:val="32"/>
        </w:rPr>
        <w:lastRenderedPageBreak/>
        <w:t>Detailed design for c</w:t>
      </w:r>
      <w:r w:rsidRPr="0011401A">
        <w:rPr>
          <w:sz w:val="32"/>
        </w:rPr>
        <w:t>apability of CSSF enhancement</w:t>
      </w:r>
    </w:p>
    <w:p w14:paraId="72AA4715" w14:textId="77777777" w:rsidR="00663B08" w:rsidRDefault="00663B08" w:rsidP="008D2024">
      <w:pPr>
        <w:rPr>
          <w:lang w:val="en-GB"/>
        </w:rPr>
      </w:pPr>
      <w:r>
        <w:rPr>
          <w:lang w:val="en-GB"/>
        </w:rPr>
        <w:t>In previous meeting, the agreements for solution 1 and solution 3 under CSSF enhancement were:</w:t>
      </w:r>
    </w:p>
    <w:tbl>
      <w:tblPr>
        <w:tblStyle w:val="TableGrid"/>
        <w:tblW w:w="0" w:type="auto"/>
        <w:tblLook w:val="04A0" w:firstRow="1" w:lastRow="0" w:firstColumn="1" w:lastColumn="0" w:noHBand="0" w:noVBand="1"/>
      </w:tblPr>
      <w:tblGrid>
        <w:gridCol w:w="9629"/>
      </w:tblGrid>
      <w:tr w:rsidR="00663B08" w14:paraId="1083BEB5" w14:textId="77777777" w:rsidTr="008D2024">
        <w:tc>
          <w:tcPr>
            <w:tcW w:w="9629" w:type="dxa"/>
          </w:tcPr>
          <w:p w14:paraId="0975DC4E" w14:textId="77777777" w:rsidR="00663B08" w:rsidRPr="00FC031A" w:rsidRDefault="00663B08" w:rsidP="00663B08">
            <w:pPr>
              <w:snapToGrid w:val="0"/>
              <w:spacing w:before="0" w:beforeAutospacing="0" w:after="0"/>
              <w:rPr>
                <w:rFonts w:eastAsia="SimSun"/>
                <w:sz w:val="20"/>
                <w:szCs w:val="20"/>
                <w:highlight w:val="green"/>
              </w:rPr>
            </w:pPr>
            <w:r w:rsidRPr="00FC031A">
              <w:rPr>
                <w:rFonts w:eastAsia="SimSun"/>
                <w:sz w:val="20"/>
                <w:szCs w:val="20"/>
                <w:highlight w:val="green"/>
              </w:rPr>
              <w:t>Agreement:</w:t>
            </w:r>
          </w:p>
          <w:p w14:paraId="09915091" w14:textId="77777777" w:rsidR="00663B08" w:rsidRPr="00FC031A" w:rsidRDefault="00663B08" w:rsidP="00663B08">
            <w:pPr>
              <w:spacing w:before="0" w:beforeAutospacing="0" w:after="0"/>
              <w:rPr>
                <w:sz w:val="20"/>
                <w:szCs w:val="20"/>
                <w:lang w:eastAsia="ja-JP"/>
              </w:rPr>
            </w:pPr>
            <w:r w:rsidRPr="00FC031A">
              <w:rPr>
                <w:sz w:val="20"/>
                <w:szCs w:val="20"/>
                <w:lang w:eastAsia="ja-JP"/>
              </w:rPr>
              <w:t>Support Solution 3 in Rel-19:</w:t>
            </w:r>
          </w:p>
          <w:p w14:paraId="26CC6EF1" w14:textId="77777777" w:rsidR="00663B08" w:rsidRPr="00FC031A" w:rsidRDefault="00663B08" w:rsidP="00663B08">
            <w:pPr>
              <w:numPr>
                <w:ilvl w:val="0"/>
                <w:numId w:val="47"/>
              </w:numPr>
              <w:overflowPunct/>
              <w:autoSpaceDE/>
              <w:autoSpaceDN/>
              <w:adjustRightInd/>
              <w:spacing w:before="0" w:beforeAutospacing="0" w:after="0"/>
              <w:ind w:left="360"/>
              <w:textAlignment w:val="auto"/>
              <w:rPr>
                <w:sz w:val="20"/>
                <w:szCs w:val="20"/>
                <w:lang w:eastAsia="ja-JP"/>
              </w:rPr>
            </w:pPr>
            <w:r w:rsidRPr="00FC031A">
              <w:rPr>
                <w:sz w:val="20"/>
                <w:szCs w:val="20"/>
                <w:lang w:eastAsia="ja-JP"/>
              </w:rPr>
              <w:t xml:space="preserve">FR1 scenario (CA [and NR-DC]) and FR1 + FR2 scenario (CA [and NR-DC]) only. </w:t>
            </w:r>
          </w:p>
          <w:p w14:paraId="0BC8EA19" w14:textId="77777777" w:rsidR="00663B08" w:rsidRPr="00FC031A" w:rsidRDefault="00663B08" w:rsidP="00663B08">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t>Define separate new UE capabilities for FR1 scenario (CA and NR-DC) and FR1 + FR2 scenario (CA and NR-DC).</w:t>
            </w:r>
          </w:p>
          <w:p w14:paraId="35C96CB1" w14:textId="77777777" w:rsidR="00663B08" w:rsidRPr="00FC031A" w:rsidRDefault="00663B08" w:rsidP="00663B08">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t>For FR1+FR2 scenario, PCell is FR1</w:t>
            </w:r>
          </w:p>
          <w:p w14:paraId="0B5B9134" w14:textId="77777777" w:rsidR="00663B08" w:rsidRPr="00FC031A" w:rsidRDefault="00663B08" w:rsidP="00663B08">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t>FFS whether NR-DC is included or not</w:t>
            </w:r>
          </w:p>
          <w:p w14:paraId="52DE35A1" w14:textId="77777777" w:rsidR="00663B08" w:rsidRPr="00FC031A" w:rsidRDefault="00663B08" w:rsidP="00663B08">
            <w:pPr>
              <w:spacing w:before="0" w:beforeAutospacing="0" w:after="0"/>
              <w:rPr>
                <w:sz w:val="20"/>
                <w:szCs w:val="20"/>
                <w:lang w:eastAsia="ja-JP"/>
              </w:rPr>
            </w:pPr>
            <w:r w:rsidRPr="00FC031A">
              <w:rPr>
                <w:sz w:val="20"/>
                <w:szCs w:val="20"/>
                <w:lang w:eastAsia="ja-JP"/>
              </w:rPr>
              <w:t xml:space="preserve">Design for solution 3 </w:t>
            </w:r>
            <w:r w:rsidRPr="00FC031A">
              <w:rPr>
                <w:rFonts w:hint="eastAsia"/>
                <w:sz w:val="20"/>
                <w:szCs w:val="20"/>
                <w:lang w:eastAsia="ja-JP"/>
              </w:rPr>
              <w:t>(</w:t>
            </w:r>
            <w:r w:rsidRPr="00FC031A">
              <w:rPr>
                <w:sz w:val="20"/>
                <w:szCs w:val="20"/>
                <w:lang w:eastAsia="ja-JP"/>
              </w:rPr>
              <w:t>agreed in ad-hoc session)</w:t>
            </w:r>
          </w:p>
          <w:p w14:paraId="31BC551B" w14:textId="77777777" w:rsidR="00663B08" w:rsidRPr="00FC031A" w:rsidRDefault="00663B08" w:rsidP="00663B08">
            <w:pPr>
              <w:numPr>
                <w:ilvl w:val="0"/>
                <w:numId w:val="47"/>
              </w:numPr>
              <w:overflowPunct/>
              <w:autoSpaceDE/>
              <w:autoSpaceDN/>
              <w:adjustRightInd/>
              <w:spacing w:before="0" w:beforeAutospacing="0" w:after="0"/>
              <w:ind w:left="360"/>
              <w:textAlignment w:val="auto"/>
              <w:rPr>
                <w:sz w:val="20"/>
                <w:szCs w:val="20"/>
                <w:lang w:eastAsia="ja-JP"/>
              </w:rPr>
            </w:pPr>
            <w:r w:rsidRPr="00FC031A">
              <w:rPr>
                <w:sz w:val="20"/>
                <w:szCs w:val="20"/>
                <w:lang w:eastAsia="ja-JP"/>
              </w:rPr>
              <w:t>Option 3 is as a by-default for CSSF enhancement solution 3, unless RAN4 agreed to introduce a network indication for specific SCC to use 3</w:t>
            </w:r>
            <w:r w:rsidRPr="00FC031A">
              <w:rPr>
                <w:sz w:val="20"/>
                <w:szCs w:val="20"/>
                <w:vertAlign w:val="superscript"/>
                <w:lang w:eastAsia="ja-JP"/>
              </w:rPr>
              <w:t>rd</w:t>
            </w:r>
            <w:r w:rsidRPr="00FC031A">
              <w:rPr>
                <w:sz w:val="20"/>
                <w:szCs w:val="20"/>
                <w:lang w:eastAsia="ja-JP"/>
              </w:rPr>
              <w:t xml:space="preserve"> searcher in the future.</w:t>
            </w:r>
          </w:p>
          <w:p w14:paraId="2119AAB4" w14:textId="77777777" w:rsidR="00663B08" w:rsidRPr="00FC031A" w:rsidRDefault="00663B08" w:rsidP="00663B08">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t xml:space="preserve">Option 3: For 3 searcher </w:t>
            </w:r>
            <w:proofErr w:type="gramStart"/>
            <w:r w:rsidRPr="00FC031A">
              <w:rPr>
                <w:sz w:val="20"/>
                <w:szCs w:val="20"/>
                <w:lang w:eastAsia="ja-JP"/>
              </w:rPr>
              <w:t>scenario</w:t>
            </w:r>
            <w:proofErr w:type="gramEnd"/>
            <w:r w:rsidRPr="00FC031A">
              <w:rPr>
                <w:sz w:val="20"/>
                <w:szCs w:val="20"/>
                <w:lang w:eastAsia="ja-JP"/>
              </w:rPr>
              <w:t>, on top of keeping the legacy two (the first and the second) searchers sharing rule,</w:t>
            </w:r>
          </w:p>
          <w:p w14:paraId="70B67036" w14:textId="77777777" w:rsidR="00663B08" w:rsidRPr="00FC031A" w:rsidRDefault="00663B08" w:rsidP="00663B08">
            <w:pPr>
              <w:numPr>
                <w:ilvl w:val="2"/>
                <w:numId w:val="47"/>
              </w:numPr>
              <w:overflowPunct/>
              <w:autoSpaceDE/>
              <w:autoSpaceDN/>
              <w:adjustRightInd/>
              <w:spacing w:before="0" w:beforeAutospacing="0" w:after="0"/>
              <w:ind w:left="1800"/>
              <w:textAlignment w:val="auto"/>
              <w:rPr>
                <w:sz w:val="20"/>
                <w:szCs w:val="20"/>
                <w:lang w:eastAsia="ja-JP"/>
              </w:rPr>
            </w:pPr>
            <w:r w:rsidRPr="00FC031A">
              <w:rPr>
                <w:sz w:val="20"/>
                <w:szCs w:val="20"/>
                <w:lang w:eastAsia="ja-JP"/>
              </w:rPr>
              <w:t>the 3rd searcher resource sharing is same as the second searcher sharing.</w:t>
            </w:r>
          </w:p>
          <w:p w14:paraId="21FBC9FF" w14:textId="77777777" w:rsidR="00663B08" w:rsidRPr="00FC031A" w:rsidRDefault="00663B08" w:rsidP="00663B08">
            <w:pPr>
              <w:spacing w:before="0" w:beforeAutospacing="0" w:after="0"/>
              <w:rPr>
                <w:sz w:val="20"/>
                <w:szCs w:val="20"/>
                <w:lang w:eastAsia="ja-JP"/>
              </w:rPr>
            </w:pPr>
            <w:r w:rsidRPr="00FC031A">
              <w:rPr>
                <w:rFonts w:hint="eastAsia"/>
                <w:sz w:val="20"/>
                <w:szCs w:val="20"/>
                <w:lang w:eastAsia="ja-JP"/>
              </w:rPr>
              <w:t>N</w:t>
            </w:r>
            <w:r w:rsidRPr="00FC031A">
              <w:rPr>
                <w:sz w:val="20"/>
                <w:szCs w:val="20"/>
                <w:lang w:eastAsia="ja-JP"/>
              </w:rPr>
              <w:t>ot support solution 2 in Rel-19.</w:t>
            </w:r>
          </w:p>
          <w:p w14:paraId="5380F136" w14:textId="77777777" w:rsidR="00663B08" w:rsidRPr="00FC031A" w:rsidRDefault="00663B08" w:rsidP="00663B08">
            <w:pPr>
              <w:snapToGrid w:val="0"/>
              <w:spacing w:before="0" w:beforeAutospacing="0" w:after="0"/>
              <w:rPr>
                <w:rFonts w:eastAsia="SimSun"/>
                <w:sz w:val="20"/>
                <w:szCs w:val="20"/>
                <w:highlight w:val="green"/>
              </w:rPr>
            </w:pPr>
          </w:p>
          <w:p w14:paraId="14B27997" w14:textId="77777777" w:rsidR="00663B08" w:rsidRPr="00FC031A" w:rsidRDefault="00663B08" w:rsidP="00663B08">
            <w:pPr>
              <w:snapToGrid w:val="0"/>
              <w:spacing w:before="0" w:beforeAutospacing="0" w:after="0"/>
              <w:rPr>
                <w:rFonts w:eastAsia="SimSun"/>
                <w:sz w:val="20"/>
                <w:szCs w:val="20"/>
              </w:rPr>
            </w:pPr>
            <w:r w:rsidRPr="00FC031A">
              <w:rPr>
                <w:rFonts w:eastAsia="SimSun"/>
                <w:sz w:val="20"/>
                <w:szCs w:val="20"/>
                <w:highlight w:val="green"/>
              </w:rPr>
              <w:t>Agreement:</w:t>
            </w:r>
          </w:p>
          <w:p w14:paraId="1DEF4896" w14:textId="77777777" w:rsidR="00663B08" w:rsidRPr="00FC031A" w:rsidRDefault="00663B08" w:rsidP="00663B08">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t>UE feature #1: Define UE capability for solution 1, further discuss whether it is per-UE or per-FR.</w:t>
            </w:r>
          </w:p>
          <w:p w14:paraId="7FC054D7" w14:textId="77777777" w:rsidR="00663B08" w:rsidRPr="00FC031A" w:rsidRDefault="00663B08" w:rsidP="00663B08">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t xml:space="preserve">UE feature #2: Define UE capability for solution 3, </w:t>
            </w:r>
            <w:r w:rsidRPr="00FC031A">
              <w:rPr>
                <w:iCs/>
                <w:sz w:val="20"/>
                <w:szCs w:val="20"/>
              </w:rPr>
              <w:t xml:space="preserve">the UE capability is defined separately for {FR1 only CA and FR1 only NR-DC}, {FR1 only EN-DC}, {FR1+FR2 CA}, {FR1+FR2 NR-DC} in the </w:t>
            </w:r>
            <w:r w:rsidRPr="00FC031A">
              <w:rPr>
                <w:rFonts w:hint="eastAsia"/>
                <w:iCs/>
                <w:sz w:val="20"/>
                <w:szCs w:val="20"/>
              </w:rPr>
              <w:t>s</w:t>
            </w:r>
            <w:r w:rsidRPr="00FC031A">
              <w:rPr>
                <w:iCs/>
                <w:sz w:val="20"/>
                <w:szCs w:val="20"/>
              </w:rPr>
              <w:t>ame FG.</w:t>
            </w:r>
          </w:p>
        </w:tc>
      </w:tr>
    </w:tbl>
    <w:p w14:paraId="2937F04F" w14:textId="74512F87" w:rsidR="00663B08" w:rsidRDefault="00663B08" w:rsidP="00663B08">
      <w:pPr>
        <w:rPr>
          <w:lang w:val="en-GB"/>
        </w:rPr>
      </w:pPr>
      <w:r>
        <w:rPr>
          <w:lang w:val="en-GB"/>
        </w:rPr>
        <w:t>Since RAN4 has agreed the capability design for solution 3, here we focus on solution 1. Based on the template shared by moderator of the feature list thread, the following detailed capability design for solution 1 is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557"/>
        <w:gridCol w:w="1077"/>
        <w:gridCol w:w="1336"/>
        <w:gridCol w:w="708"/>
        <w:gridCol w:w="851"/>
        <w:gridCol w:w="874"/>
        <w:gridCol w:w="1077"/>
        <w:gridCol w:w="1619"/>
        <w:gridCol w:w="720"/>
        <w:gridCol w:w="714"/>
        <w:gridCol w:w="1054"/>
        <w:gridCol w:w="1179"/>
        <w:gridCol w:w="1436"/>
      </w:tblGrid>
      <w:tr w:rsidR="00663B08" w:rsidRPr="007F3825" w14:paraId="0A4A2620" w14:textId="77777777" w:rsidTr="008D2024">
        <w:trPr>
          <w:trHeight w:val="20"/>
        </w:trPr>
        <w:tc>
          <w:tcPr>
            <w:tcW w:w="377" w:type="pct"/>
          </w:tcPr>
          <w:p w14:paraId="12606909"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lastRenderedPageBreak/>
              <w:t>Features</w:t>
            </w:r>
          </w:p>
        </w:tc>
        <w:tc>
          <w:tcPr>
            <w:tcW w:w="195" w:type="pct"/>
          </w:tcPr>
          <w:p w14:paraId="17AA448E"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Index</w:t>
            </w:r>
          </w:p>
        </w:tc>
        <w:tc>
          <w:tcPr>
            <w:tcW w:w="377" w:type="pct"/>
          </w:tcPr>
          <w:p w14:paraId="7A14BD98"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Feature group</w:t>
            </w:r>
          </w:p>
        </w:tc>
        <w:tc>
          <w:tcPr>
            <w:tcW w:w="468" w:type="pct"/>
          </w:tcPr>
          <w:p w14:paraId="08BA7166" w14:textId="77777777" w:rsidR="00663B08" w:rsidRPr="00497FC7" w:rsidRDefault="00663B08" w:rsidP="008D2024">
            <w:pPr>
              <w:keepNext/>
              <w:keepLines/>
              <w:jc w:val="center"/>
              <w:rPr>
                <w:rFonts w:ascii="Arial" w:hAnsi="Arial" w:cs="Arial"/>
                <w:b/>
                <w:sz w:val="13"/>
                <w:szCs w:val="13"/>
              </w:rPr>
            </w:pPr>
            <w:r w:rsidRPr="00497FC7">
              <w:rPr>
                <w:rFonts w:ascii="Arial" w:hAnsi="Arial" w:cs="Arial"/>
                <w:b/>
                <w:sz w:val="13"/>
                <w:szCs w:val="13"/>
              </w:rPr>
              <w:t>Components</w:t>
            </w:r>
          </w:p>
          <w:p w14:paraId="739D0F39" w14:textId="77777777" w:rsidR="00663B08" w:rsidRPr="007F3825" w:rsidRDefault="00663B08" w:rsidP="008D2024">
            <w:pPr>
              <w:keepNext/>
              <w:keepLines/>
              <w:jc w:val="center"/>
              <w:rPr>
                <w:rFonts w:ascii="Arial" w:hAnsi="Arial" w:cs="Arial"/>
                <w:b/>
                <w:sz w:val="13"/>
                <w:szCs w:val="13"/>
              </w:rPr>
            </w:pPr>
          </w:p>
        </w:tc>
        <w:tc>
          <w:tcPr>
            <w:tcW w:w="248" w:type="pct"/>
          </w:tcPr>
          <w:p w14:paraId="6B5DEE3F"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Prerequisite feature groups</w:t>
            </w:r>
          </w:p>
        </w:tc>
        <w:tc>
          <w:tcPr>
            <w:tcW w:w="298" w:type="pct"/>
          </w:tcPr>
          <w:p w14:paraId="0D89E059"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Need for the gNB to know if the feature is supported</w:t>
            </w:r>
          </w:p>
        </w:tc>
        <w:tc>
          <w:tcPr>
            <w:tcW w:w="306" w:type="pct"/>
          </w:tcPr>
          <w:p w14:paraId="7D707ABD" w14:textId="77777777" w:rsidR="00663B08" w:rsidRPr="007F3825" w:rsidRDefault="00663B08" w:rsidP="008D2024">
            <w:pPr>
              <w:keepNext/>
              <w:keepLines/>
              <w:jc w:val="center"/>
              <w:rPr>
                <w:rFonts w:ascii="Arial" w:hAnsi="Arial" w:cs="Arial"/>
                <w:b/>
                <w:sz w:val="13"/>
                <w:szCs w:val="13"/>
              </w:rPr>
            </w:pPr>
            <w:r w:rsidRPr="00497FC7">
              <w:rPr>
                <w:rFonts w:ascii="Arial" w:eastAsia="Gulim" w:hAnsi="Arial" w:cs="Arial"/>
                <w:b/>
                <w:sz w:val="13"/>
                <w:szCs w:val="13"/>
              </w:rPr>
              <w:t xml:space="preserve">Applicable to </w:t>
            </w:r>
            <w:r w:rsidRPr="00497FC7">
              <w:rPr>
                <w:rFonts w:ascii="Arial" w:hAnsi="Arial" w:cs="Arial"/>
                <w:b/>
                <w:sz w:val="13"/>
                <w:szCs w:val="13"/>
              </w:rPr>
              <w:t>the capability signalling exchange between UEs (V2X WI only)”.</w:t>
            </w:r>
          </w:p>
        </w:tc>
        <w:tc>
          <w:tcPr>
            <w:tcW w:w="377" w:type="pct"/>
          </w:tcPr>
          <w:p w14:paraId="5F219EA4" w14:textId="77777777" w:rsidR="00663B08" w:rsidRPr="007F3825" w:rsidRDefault="00663B08" w:rsidP="008D2024">
            <w:pPr>
              <w:keepNext/>
              <w:keepLines/>
              <w:rPr>
                <w:rFonts w:ascii="Arial" w:hAnsi="Arial" w:cs="Arial"/>
                <w:b/>
                <w:sz w:val="13"/>
                <w:szCs w:val="13"/>
              </w:rPr>
            </w:pPr>
            <w:r w:rsidRPr="00497FC7">
              <w:rPr>
                <w:rFonts w:ascii="Arial" w:hAnsi="Arial" w:cs="Arial"/>
                <w:b/>
                <w:sz w:val="13"/>
                <w:szCs w:val="13"/>
              </w:rPr>
              <w:t>Consequence if the feature is not supported by the UE</w:t>
            </w:r>
          </w:p>
        </w:tc>
        <w:tc>
          <w:tcPr>
            <w:tcW w:w="567" w:type="pct"/>
          </w:tcPr>
          <w:p w14:paraId="27CFEEB1" w14:textId="77777777" w:rsidR="00663B08" w:rsidRPr="007F3825" w:rsidRDefault="00663B08" w:rsidP="008D2024">
            <w:pPr>
              <w:keepNext/>
              <w:keepLines/>
              <w:rPr>
                <w:rFonts w:ascii="Arial" w:hAnsi="Arial" w:cs="Arial"/>
                <w:b/>
                <w:sz w:val="13"/>
                <w:szCs w:val="13"/>
              </w:rPr>
            </w:pPr>
            <w:r w:rsidRPr="00497FC7">
              <w:rPr>
                <w:rFonts w:ascii="Arial" w:hAnsi="Arial" w:cs="Arial"/>
                <w:b/>
                <w:sz w:val="13"/>
                <w:szCs w:val="13"/>
              </w:rPr>
              <w:t>Type (the ‘type’ definition from UE features should be based on the granularity of 1) Per UE or 2) Per Band or 3) Per BC or 4) Per FS or 5) Per FSPC)</w:t>
            </w:r>
          </w:p>
        </w:tc>
        <w:tc>
          <w:tcPr>
            <w:tcW w:w="252" w:type="pct"/>
          </w:tcPr>
          <w:p w14:paraId="6F04D277"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Need of FDD/TDD differentiation</w:t>
            </w:r>
          </w:p>
        </w:tc>
        <w:tc>
          <w:tcPr>
            <w:tcW w:w="250" w:type="pct"/>
          </w:tcPr>
          <w:p w14:paraId="270B1B17"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Need of FR1/FR2 differentiation</w:t>
            </w:r>
          </w:p>
        </w:tc>
        <w:tc>
          <w:tcPr>
            <w:tcW w:w="369" w:type="pct"/>
          </w:tcPr>
          <w:p w14:paraId="701AFE92"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Capability interpretation for mixture of FDD/TDD and/or FR1/FR2</w:t>
            </w:r>
          </w:p>
        </w:tc>
        <w:tc>
          <w:tcPr>
            <w:tcW w:w="413" w:type="pct"/>
          </w:tcPr>
          <w:p w14:paraId="56A5103D"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Note</w:t>
            </w:r>
          </w:p>
        </w:tc>
        <w:tc>
          <w:tcPr>
            <w:tcW w:w="503" w:type="pct"/>
          </w:tcPr>
          <w:p w14:paraId="156CCEE7" w14:textId="77777777" w:rsidR="00663B08" w:rsidRPr="007F3825" w:rsidRDefault="00663B08" w:rsidP="008D2024">
            <w:pPr>
              <w:keepNext/>
              <w:keepLines/>
              <w:jc w:val="center"/>
              <w:rPr>
                <w:rFonts w:ascii="Arial" w:hAnsi="Arial" w:cs="Arial"/>
                <w:b/>
                <w:sz w:val="13"/>
                <w:szCs w:val="13"/>
              </w:rPr>
            </w:pPr>
            <w:r w:rsidRPr="00497FC7">
              <w:rPr>
                <w:rFonts w:ascii="Arial" w:hAnsi="Arial" w:cs="Arial"/>
                <w:b/>
                <w:sz w:val="13"/>
                <w:szCs w:val="13"/>
              </w:rPr>
              <w:t>Mandatory/Optional</w:t>
            </w:r>
          </w:p>
        </w:tc>
      </w:tr>
      <w:tr w:rsidR="00663B08" w:rsidRPr="007F3825" w14:paraId="674DE1AC" w14:textId="77777777" w:rsidTr="008D2024">
        <w:trPr>
          <w:trHeight w:val="20"/>
        </w:trPr>
        <w:tc>
          <w:tcPr>
            <w:tcW w:w="377" w:type="pct"/>
          </w:tcPr>
          <w:p w14:paraId="59A5418F" w14:textId="77777777" w:rsidR="00663B08" w:rsidRPr="00497FC7" w:rsidRDefault="00663B08" w:rsidP="008D2024">
            <w:pPr>
              <w:keepNext/>
              <w:keepLines/>
              <w:rPr>
                <w:rFonts w:ascii="Arial" w:eastAsiaTheme="minorEastAsia" w:hAnsi="Arial" w:cs="Arial"/>
                <w:sz w:val="13"/>
                <w:szCs w:val="13"/>
              </w:rPr>
            </w:pPr>
            <w:r w:rsidRPr="00497FC7">
              <w:rPr>
                <w:rFonts w:ascii="Arial" w:eastAsiaTheme="minorEastAsia" w:hAnsi="Arial" w:cs="Arial"/>
                <w:sz w:val="13"/>
                <w:szCs w:val="13"/>
              </w:rPr>
              <w:t>49. NR_RRM_Ph5</w:t>
            </w:r>
          </w:p>
          <w:p w14:paraId="33D10409" w14:textId="77777777" w:rsidR="00663B08" w:rsidRPr="007F3825" w:rsidRDefault="00663B08" w:rsidP="008D2024">
            <w:pPr>
              <w:keepNext/>
              <w:keepLines/>
              <w:rPr>
                <w:rFonts w:ascii="Arial" w:eastAsiaTheme="minorEastAsia" w:hAnsi="Arial" w:cs="Arial"/>
                <w:sz w:val="13"/>
                <w:szCs w:val="13"/>
              </w:rPr>
            </w:pPr>
          </w:p>
        </w:tc>
        <w:tc>
          <w:tcPr>
            <w:tcW w:w="195" w:type="pct"/>
          </w:tcPr>
          <w:p w14:paraId="7494951F" w14:textId="77777777" w:rsidR="00663B08" w:rsidRPr="007F3825" w:rsidRDefault="00663B08" w:rsidP="008D2024">
            <w:pPr>
              <w:keepNext/>
              <w:keepLines/>
              <w:jc w:val="center"/>
              <w:rPr>
                <w:rFonts w:ascii="Arial" w:eastAsiaTheme="minorEastAsia" w:hAnsi="Arial" w:cs="Arial"/>
                <w:sz w:val="13"/>
                <w:szCs w:val="13"/>
              </w:rPr>
            </w:pPr>
            <w:r w:rsidRPr="00497FC7">
              <w:rPr>
                <w:rFonts w:ascii="Arial" w:eastAsiaTheme="minorEastAsia" w:hAnsi="Arial" w:cs="Arial"/>
                <w:sz w:val="13"/>
                <w:szCs w:val="13"/>
              </w:rPr>
              <w:t>[49-x]</w:t>
            </w:r>
          </w:p>
        </w:tc>
        <w:tc>
          <w:tcPr>
            <w:tcW w:w="377" w:type="pct"/>
          </w:tcPr>
          <w:p w14:paraId="0329CDE3" w14:textId="77777777" w:rsidR="00663B08" w:rsidRPr="007F3825" w:rsidRDefault="00663B08" w:rsidP="008D2024">
            <w:pPr>
              <w:keepNext/>
              <w:keepLines/>
              <w:rPr>
                <w:rFonts w:ascii="Arial" w:hAnsi="Arial" w:cs="Arial"/>
                <w:sz w:val="13"/>
                <w:szCs w:val="13"/>
              </w:rPr>
            </w:pPr>
            <w:r w:rsidRPr="00497FC7">
              <w:rPr>
                <w:rFonts w:ascii="Arial" w:eastAsiaTheme="minorEastAsia" w:hAnsi="Arial" w:cs="Arial"/>
                <w:sz w:val="13"/>
                <w:szCs w:val="13"/>
              </w:rPr>
              <w:t>L3 serving cell and neighbor cells measurement and report on one serving carrier per-band for intra-frequency measurements without measurement gap</w:t>
            </w:r>
          </w:p>
        </w:tc>
        <w:tc>
          <w:tcPr>
            <w:tcW w:w="468" w:type="pct"/>
          </w:tcPr>
          <w:p w14:paraId="75CC2819" w14:textId="77777777" w:rsidR="00663B08" w:rsidRDefault="00663B08" w:rsidP="008D2024">
            <w:pPr>
              <w:keepNext/>
              <w:keepLines/>
              <w:rPr>
                <w:rFonts w:ascii="Arial" w:eastAsiaTheme="minorEastAsia" w:hAnsi="Arial" w:cs="Arial"/>
                <w:sz w:val="13"/>
                <w:szCs w:val="13"/>
              </w:rPr>
            </w:pPr>
            <w:r w:rsidRPr="00497FC7">
              <w:rPr>
                <w:rFonts w:ascii="Arial" w:eastAsiaTheme="minorEastAsia" w:hAnsi="Arial" w:cs="Arial"/>
                <w:sz w:val="13"/>
                <w:szCs w:val="13"/>
              </w:rPr>
              <w:t>Support of  serving cell and neighbor cells measurement and report on one serving carrier per-band for intra-frequency measurements without measurement gap if multiple serving carriers are configured in a same band</w:t>
            </w:r>
            <w:r>
              <w:rPr>
                <w:rFonts w:ascii="Arial" w:eastAsiaTheme="minorEastAsia" w:hAnsi="Arial" w:cs="Arial"/>
                <w:sz w:val="13"/>
                <w:szCs w:val="13"/>
              </w:rPr>
              <w:t>.</w:t>
            </w:r>
          </w:p>
          <w:p w14:paraId="342B2E7D" w14:textId="77777777" w:rsidR="00663B08" w:rsidRPr="007F3825" w:rsidRDefault="00663B08" w:rsidP="008D2024">
            <w:pPr>
              <w:keepNext/>
              <w:keepLines/>
              <w:rPr>
                <w:rFonts w:ascii="Arial" w:hAnsi="Arial" w:cs="Arial"/>
                <w:sz w:val="13"/>
                <w:szCs w:val="13"/>
              </w:rPr>
            </w:pPr>
            <w:r w:rsidRPr="00497FC7">
              <w:rPr>
                <w:rFonts w:ascii="Arial" w:eastAsiaTheme="minorEastAsia" w:hAnsi="Arial" w:cs="Arial"/>
                <w:sz w:val="13"/>
                <w:szCs w:val="13"/>
              </w:rPr>
              <w:t>Support of separate indications</w:t>
            </w:r>
            <w:r w:rsidRPr="00497FC7" w:rsidDel="00C727A7">
              <w:rPr>
                <w:rFonts w:ascii="Arial" w:eastAsiaTheme="minorEastAsia" w:hAnsi="Arial" w:cs="Arial"/>
                <w:sz w:val="13"/>
                <w:szCs w:val="13"/>
              </w:rPr>
              <w:t xml:space="preserve"> </w:t>
            </w:r>
            <w:r w:rsidRPr="00497FC7">
              <w:rPr>
                <w:rFonts w:ascii="Arial" w:eastAsiaTheme="minorEastAsia" w:hAnsi="Arial" w:cs="Arial"/>
                <w:sz w:val="13"/>
                <w:szCs w:val="13"/>
              </w:rPr>
              <w:t>for</w:t>
            </w:r>
            <w:r>
              <w:rPr>
                <w:rFonts w:ascii="Arial" w:eastAsiaTheme="minorEastAsia" w:hAnsi="Arial" w:cs="Arial"/>
                <w:sz w:val="13"/>
                <w:szCs w:val="13"/>
              </w:rPr>
              <w:t xml:space="preserve"> FR1 and FR2-1.</w:t>
            </w:r>
          </w:p>
        </w:tc>
        <w:tc>
          <w:tcPr>
            <w:tcW w:w="248" w:type="pct"/>
          </w:tcPr>
          <w:p w14:paraId="77A32EEC" w14:textId="77777777" w:rsidR="00663B08" w:rsidRPr="007F3825" w:rsidRDefault="00663B08" w:rsidP="008D2024">
            <w:pPr>
              <w:keepNext/>
              <w:keepLines/>
              <w:jc w:val="center"/>
              <w:rPr>
                <w:rFonts w:ascii="Arial" w:hAnsi="Arial" w:cs="Arial"/>
                <w:b/>
                <w:sz w:val="13"/>
                <w:szCs w:val="13"/>
              </w:rPr>
            </w:pPr>
          </w:p>
        </w:tc>
        <w:tc>
          <w:tcPr>
            <w:tcW w:w="298" w:type="pct"/>
          </w:tcPr>
          <w:p w14:paraId="4A4C18CF" w14:textId="77777777" w:rsidR="00663B08" w:rsidRPr="007F3825" w:rsidRDefault="00663B08" w:rsidP="008D2024">
            <w:pPr>
              <w:keepNext/>
              <w:keepLines/>
              <w:jc w:val="center"/>
              <w:rPr>
                <w:rFonts w:ascii="Arial" w:hAnsi="Arial" w:cs="Arial"/>
                <w:sz w:val="13"/>
                <w:szCs w:val="13"/>
              </w:rPr>
            </w:pPr>
            <w:r w:rsidRPr="00497FC7">
              <w:rPr>
                <w:rFonts w:ascii="Arial" w:hAnsi="Arial" w:cs="Arial"/>
                <w:sz w:val="13"/>
                <w:szCs w:val="13"/>
              </w:rPr>
              <w:t>Yes</w:t>
            </w:r>
          </w:p>
        </w:tc>
        <w:tc>
          <w:tcPr>
            <w:tcW w:w="306" w:type="pct"/>
          </w:tcPr>
          <w:p w14:paraId="64608774" w14:textId="77777777" w:rsidR="00663B08" w:rsidRPr="007F3825" w:rsidRDefault="00663B08" w:rsidP="008D2024">
            <w:pPr>
              <w:keepNext/>
              <w:keepLines/>
              <w:jc w:val="center"/>
              <w:rPr>
                <w:rFonts w:ascii="Arial" w:eastAsia="Gulim" w:hAnsi="Arial" w:cs="Arial"/>
                <w:b/>
                <w:sz w:val="13"/>
                <w:szCs w:val="13"/>
              </w:rPr>
            </w:pPr>
          </w:p>
        </w:tc>
        <w:tc>
          <w:tcPr>
            <w:tcW w:w="377" w:type="pct"/>
          </w:tcPr>
          <w:p w14:paraId="66394734" w14:textId="77777777" w:rsidR="00663B08" w:rsidRPr="007F3825" w:rsidRDefault="00663B08" w:rsidP="008D2024">
            <w:pPr>
              <w:keepNext/>
              <w:keepLines/>
              <w:rPr>
                <w:rFonts w:ascii="Arial" w:hAnsi="Arial" w:cs="Arial"/>
                <w:sz w:val="13"/>
                <w:szCs w:val="13"/>
              </w:rPr>
            </w:pPr>
            <w:r w:rsidRPr="00497FC7">
              <w:rPr>
                <w:rFonts w:ascii="Arial" w:hAnsi="Arial" w:cs="Arial"/>
                <w:sz w:val="13"/>
                <w:szCs w:val="13"/>
              </w:rPr>
              <w:t xml:space="preserve">UE does not support </w:t>
            </w:r>
            <w:r w:rsidRPr="00497FC7">
              <w:rPr>
                <w:rFonts w:ascii="Arial" w:eastAsiaTheme="minorEastAsia" w:hAnsi="Arial" w:cs="Arial"/>
                <w:sz w:val="13"/>
                <w:szCs w:val="13"/>
              </w:rPr>
              <w:t>serving cell and neighbor cells measurement and report  on one serving carrier per-band for intra-frequency measurements without measurement gap if multiple serving carriers are [configured in a same band].</w:t>
            </w:r>
          </w:p>
        </w:tc>
        <w:tc>
          <w:tcPr>
            <w:tcW w:w="567" w:type="pct"/>
          </w:tcPr>
          <w:p w14:paraId="3E6D7C78" w14:textId="77777777" w:rsidR="00663B08" w:rsidRPr="00497FC7" w:rsidRDefault="00663B08" w:rsidP="008D2024">
            <w:pPr>
              <w:keepNext/>
              <w:keepLines/>
              <w:rPr>
                <w:rFonts w:ascii="Arial" w:hAnsi="Arial" w:cs="Arial"/>
                <w:sz w:val="13"/>
                <w:szCs w:val="13"/>
              </w:rPr>
            </w:pPr>
            <w:r w:rsidRPr="00497FC7">
              <w:rPr>
                <w:rFonts w:ascii="Arial" w:hAnsi="Arial" w:cs="Arial"/>
                <w:sz w:val="13"/>
                <w:szCs w:val="13"/>
              </w:rPr>
              <w:t>Per-UE</w:t>
            </w:r>
          </w:p>
          <w:p w14:paraId="094CD4A0" w14:textId="77777777" w:rsidR="00663B08" w:rsidRPr="007F3825" w:rsidRDefault="00663B08" w:rsidP="008D2024">
            <w:pPr>
              <w:keepNext/>
              <w:keepLines/>
              <w:rPr>
                <w:rFonts w:ascii="Arial" w:hAnsi="Arial" w:cs="Arial"/>
                <w:sz w:val="13"/>
                <w:szCs w:val="13"/>
              </w:rPr>
            </w:pPr>
          </w:p>
        </w:tc>
        <w:tc>
          <w:tcPr>
            <w:tcW w:w="252" w:type="pct"/>
          </w:tcPr>
          <w:p w14:paraId="6385A71C" w14:textId="77777777" w:rsidR="00663B08" w:rsidRPr="007F3825" w:rsidRDefault="00663B08" w:rsidP="008D2024">
            <w:pPr>
              <w:keepNext/>
              <w:keepLines/>
              <w:jc w:val="center"/>
              <w:rPr>
                <w:rFonts w:ascii="Arial" w:hAnsi="Arial" w:cs="Arial"/>
                <w:sz w:val="13"/>
                <w:szCs w:val="13"/>
              </w:rPr>
            </w:pPr>
            <w:r w:rsidRPr="00497FC7">
              <w:rPr>
                <w:rFonts w:ascii="Arial" w:hAnsi="Arial" w:cs="Arial"/>
                <w:sz w:val="13"/>
                <w:szCs w:val="13"/>
              </w:rPr>
              <w:t>No</w:t>
            </w:r>
          </w:p>
        </w:tc>
        <w:tc>
          <w:tcPr>
            <w:tcW w:w="250" w:type="pct"/>
          </w:tcPr>
          <w:p w14:paraId="1968C4BA" w14:textId="77777777" w:rsidR="00663B08" w:rsidRPr="007F3825" w:rsidRDefault="00663B08" w:rsidP="008D2024">
            <w:pPr>
              <w:keepNext/>
              <w:keepLines/>
              <w:jc w:val="center"/>
              <w:rPr>
                <w:rFonts w:ascii="Arial" w:hAnsi="Arial" w:cs="Arial"/>
                <w:sz w:val="13"/>
                <w:szCs w:val="13"/>
              </w:rPr>
            </w:pPr>
            <w:r>
              <w:rPr>
                <w:rFonts w:ascii="Arial" w:hAnsi="Arial" w:cs="Arial"/>
                <w:sz w:val="13"/>
                <w:szCs w:val="13"/>
              </w:rPr>
              <w:t>Yes</w:t>
            </w:r>
          </w:p>
        </w:tc>
        <w:tc>
          <w:tcPr>
            <w:tcW w:w="369" w:type="pct"/>
          </w:tcPr>
          <w:p w14:paraId="634FC818" w14:textId="77777777" w:rsidR="00663B08" w:rsidRPr="007F3825" w:rsidRDefault="00663B08" w:rsidP="008D2024">
            <w:pPr>
              <w:keepNext/>
              <w:keepLines/>
              <w:jc w:val="center"/>
              <w:rPr>
                <w:rFonts w:ascii="Arial" w:hAnsi="Arial" w:cs="Arial"/>
                <w:b/>
                <w:sz w:val="13"/>
                <w:szCs w:val="13"/>
              </w:rPr>
            </w:pPr>
          </w:p>
        </w:tc>
        <w:tc>
          <w:tcPr>
            <w:tcW w:w="413" w:type="pct"/>
            <w:vAlign w:val="center"/>
          </w:tcPr>
          <w:p w14:paraId="06BC2739" w14:textId="77777777" w:rsidR="00663B08" w:rsidRPr="00F71FD5" w:rsidRDefault="00663B08" w:rsidP="008D2024">
            <w:pPr>
              <w:keepNext/>
              <w:keepLines/>
              <w:rPr>
                <w:rFonts w:ascii="Arial" w:hAnsi="Arial" w:cs="Arial"/>
                <w:sz w:val="13"/>
                <w:szCs w:val="13"/>
              </w:rPr>
            </w:pPr>
            <w:r w:rsidRPr="00497FC7">
              <w:rPr>
                <w:rFonts w:ascii="Arial" w:hAnsi="Arial" w:cs="Arial"/>
                <w:sz w:val="13"/>
                <w:szCs w:val="13"/>
              </w:rPr>
              <w:t xml:space="preserve">UE indicating this capability shall meet the </w:t>
            </w:r>
            <w:r w:rsidRPr="00497FC7">
              <w:rPr>
                <w:rFonts w:ascii="Arial" w:eastAsiaTheme="minorEastAsia" w:hAnsi="Arial" w:cs="Arial"/>
                <w:sz w:val="13"/>
                <w:szCs w:val="13"/>
              </w:rPr>
              <w:t xml:space="preserve">corresponding enhanced </w:t>
            </w:r>
            <w:r w:rsidRPr="00497FC7">
              <w:rPr>
                <w:rFonts w:ascii="Arial" w:hAnsi="Arial" w:cs="Arial"/>
                <w:sz w:val="13"/>
                <w:szCs w:val="13"/>
              </w:rPr>
              <w:t xml:space="preserve">requirements in TS38.133 [Clause 9.2.3.2, 9.1.5.1.1, </w:t>
            </w:r>
            <w:r w:rsidRPr="00497FC7">
              <w:rPr>
                <w:rFonts w:ascii="Arial" w:hAnsi="Arial" w:cs="Arial"/>
                <w:sz w:val="13"/>
                <w:szCs w:val="13"/>
                <w:lang w:val="en-GB"/>
              </w:rPr>
              <w:t>9.1.5.1.2, 9.1.5.1.3, and 9.1.5.1.4</w:t>
            </w:r>
            <w:r w:rsidRPr="00497FC7">
              <w:rPr>
                <w:rFonts w:ascii="Arial" w:hAnsi="Arial" w:cs="Arial"/>
                <w:sz w:val="13"/>
                <w:szCs w:val="13"/>
              </w:rPr>
              <w:t xml:space="preserve">] </w:t>
            </w:r>
          </w:p>
        </w:tc>
        <w:tc>
          <w:tcPr>
            <w:tcW w:w="503" w:type="pct"/>
            <w:vAlign w:val="center"/>
          </w:tcPr>
          <w:p w14:paraId="7B397BC3" w14:textId="77777777" w:rsidR="00663B08" w:rsidRPr="007F3825" w:rsidRDefault="00663B08" w:rsidP="008D2024">
            <w:pPr>
              <w:keepNext/>
              <w:keepLines/>
              <w:rPr>
                <w:rFonts w:ascii="Arial" w:hAnsi="Arial" w:cs="Arial"/>
                <w:sz w:val="13"/>
                <w:szCs w:val="13"/>
              </w:rPr>
            </w:pPr>
            <w:r w:rsidRPr="00497FC7">
              <w:rPr>
                <w:rFonts w:ascii="Arial" w:hAnsi="Arial" w:cs="Arial"/>
                <w:sz w:val="13"/>
                <w:szCs w:val="13"/>
              </w:rPr>
              <w:t>Optional with capability signaling</w:t>
            </w:r>
          </w:p>
        </w:tc>
      </w:tr>
    </w:tbl>
    <w:p w14:paraId="759CE661" w14:textId="77777777" w:rsidR="009715AE" w:rsidRDefault="009715AE" w:rsidP="009715AE">
      <w:pPr>
        <w:rPr>
          <w:lang w:val="en-GB"/>
        </w:rPr>
      </w:pPr>
    </w:p>
    <w:p w14:paraId="50F1ED20" w14:textId="77777777" w:rsidR="009715AE" w:rsidRDefault="009715AE" w:rsidP="009715AE">
      <w:pPr>
        <w:rPr>
          <w:lang w:val="en-GB"/>
        </w:rPr>
      </w:pPr>
    </w:p>
    <w:p w14:paraId="6889A82A" w14:textId="2D37BA37" w:rsidR="009715AE" w:rsidRDefault="009715AE" w:rsidP="009715AE">
      <w:pPr>
        <w:pStyle w:val="Heading1"/>
        <w:numPr>
          <w:ilvl w:val="0"/>
          <w:numId w:val="10"/>
        </w:numPr>
        <w:pBdr>
          <w:top w:val="single" w:sz="12" w:space="2" w:color="auto"/>
        </w:pBdr>
        <w:jc w:val="both"/>
        <w:rPr>
          <w:sz w:val="32"/>
        </w:rPr>
      </w:pPr>
      <w:r>
        <w:rPr>
          <w:sz w:val="32"/>
        </w:rPr>
        <w:t>Detailed design for c</w:t>
      </w:r>
      <w:r w:rsidRPr="0011401A">
        <w:rPr>
          <w:sz w:val="32"/>
        </w:rPr>
        <w:t xml:space="preserve">apability of </w:t>
      </w:r>
      <w:r>
        <w:rPr>
          <w:sz w:val="32"/>
        </w:rPr>
        <w:t>EMR</w:t>
      </w:r>
      <w:r w:rsidRPr="0011401A">
        <w:rPr>
          <w:sz w:val="32"/>
        </w:rPr>
        <w:t xml:space="preserve"> enhancement</w:t>
      </w:r>
    </w:p>
    <w:p w14:paraId="788F4938" w14:textId="1C47EEB4" w:rsidR="000A3CC8" w:rsidRDefault="00BE2765" w:rsidP="00482187">
      <w:r>
        <w:t>UE capability was discussed in the previous meeting. It is still open:</w:t>
      </w:r>
    </w:p>
    <w:p w14:paraId="4B1B1A2A" w14:textId="77777777" w:rsidR="00BE2765" w:rsidRPr="00BE1B66" w:rsidRDefault="00BE2765" w:rsidP="00BE2765">
      <w:pPr>
        <w:pStyle w:val="Heading3"/>
        <w:rPr>
          <w:sz w:val="21"/>
          <w:u w:val="single"/>
          <w:lang w:val="en-US" w:eastAsia="ko-KR"/>
        </w:rPr>
      </w:pPr>
      <w:r w:rsidRPr="00BE1B66">
        <w:rPr>
          <w:sz w:val="21"/>
          <w:u w:val="single"/>
          <w:lang w:val="en-US" w:eastAsia="ko-KR"/>
        </w:rPr>
        <w:t>Issue 2-1-1: UE capability for EMR-based fast SCell activation</w:t>
      </w:r>
    </w:p>
    <w:p w14:paraId="69C7881C" w14:textId="77777777" w:rsidR="00BE2765" w:rsidRPr="00EA026E" w:rsidRDefault="00BE2765" w:rsidP="00BE2765">
      <w:pPr>
        <w:snapToGrid w:val="0"/>
        <w:spacing w:after="120"/>
        <w:rPr>
          <w:rFonts w:eastAsia="SimSun"/>
          <w:sz w:val="21"/>
          <w:szCs w:val="21"/>
          <w:highlight w:val="yellow"/>
        </w:rPr>
      </w:pPr>
      <w:r w:rsidRPr="00EA026E">
        <w:rPr>
          <w:rFonts w:eastAsia="SimSun"/>
          <w:sz w:val="21"/>
          <w:szCs w:val="21"/>
          <w:highlight w:val="yellow"/>
        </w:rPr>
        <w:t>FFS:</w:t>
      </w:r>
    </w:p>
    <w:p w14:paraId="26BD859F" w14:textId="77777777" w:rsidR="00BE2765" w:rsidRPr="00CB1DB8" w:rsidRDefault="00BE2765" w:rsidP="00BE2765">
      <w:pPr>
        <w:pStyle w:val="ListParagraph"/>
        <w:widowControl/>
        <w:numPr>
          <w:ilvl w:val="0"/>
          <w:numId w:val="47"/>
        </w:numPr>
        <w:autoSpaceDE/>
        <w:autoSpaceDN/>
        <w:adjustRightInd/>
        <w:snapToGrid w:val="0"/>
        <w:spacing w:before="0" w:beforeAutospacing="0" w:after="120" w:line="240" w:lineRule="auto"/>
        <w:ind w:left="360" w:firstLineChars="0"/>
      </w:pPr>
      <w:r w:rsidRPr="00CB1DB8">
        <w:t xml:space="preserve">Option 1: Introduce a UE capability for R19 SCell activation based on EMR </w:t>
      </w:r>
    </w:p>
    <w:p w14:paraId="4FBBEA5F" w14:textId="77777777" w:rsidR="00BE2765" w:rsidRPr="00CB1DB8" w:rsidRDefault="00BE2765" w:rsidP="00BE2765">
      <w:pPr>
        <w:pStyle w:val="ListParagraph"/>
        <w:widowControl/>
        <w:numPr>
          <w:ilvl w:val="1"/>
          <w:numId w:val="47"/>
        </w:numPr>
        <w:autoSpaceDE/>
        <w:autoSpaceDN/>
        <w:adjustRightInd/>
        <w:snapToGrid w:val="0"/>
        <w:spacing w:before="0" w:beforeAutospacing="0" w:after="120" w:line="240" w:lineRule="auto"/>
        <w:ind w:left="1080" w:firstLineChars="0"/>
      </w:pPr>
      <w:r w:rsidRPr="00CB1DB8">
        <w:rPr>
          <w:bCs/>
          <w:iCs/>
        </w:rPr>
        <w:t>Prerequisite feature groups</w:t>
      </w:r>
      <w:r w:rsidRPr="00CB1DB8">
        <w:rPr>
          <w:rFonts w:eastAsia="Yu Mincho"/>
          <w:bCs/>
          <w:iCs/>
        </w:rPr>
        <w:t>:</w:t>
      </w:r>
      <w:r w:rsidRPr="00CB1DB8">
        <w:rPr>
          <w:bCs/>
          <w:iCs/>
        </w:rPr>
        <w:t xml:space="preserve"> </w:t>
      </w:r>
      <w:r w:rsidRPr="00CB1DB8">
        <w:rPr>
          <w:rFonts w:eastAsia="Yu Mincho"/>
          <w:bCs/>
          <w:iCs/>
        </w:rPr>
        <w:t>39-8 or 39-9 in R18 RAN4 feature list</w:t>
      </w:r>
    </w:p>
    <w:p w14:paraId="771B0E88" w14:textId="77777777" w:rsidR="00BE2765" w:rsidRPr="00CB1DB8" w:rsidRDefault="00BE2765" w:rsidP="00BE2765">
      <w:pPr>
        <w:pStyle w:val="ListParagraph"/>
        <w:widowControl/>
        <w:numPr>
          <w:ilvl w:val="1"/>
          <w:numId w:val="47"/>
        </w:numPr>
        <w:autoSpaceDE/>
        <w:autoSpaceDN/>
        <w:adjustRightInd/>
        <w:snapToGrid w:val="0"/>
        <w:spacing w:before="0" w:beforeAutospacing="0" w:after="120" w:line="240" w:lineRule="auto"/>
        <w:ind w:left="1080" w:firstLineChars="0"/>
      </w:pPr>
      <w:r w:rsidRPr="00CB1DB8">
        <w:t>Need for the gNB to know if the feature is supported: No</w:t>
      </w:r>
    </w:p>
    <w:p w14:paraId="6409774F" w14:textId="77777777" w:rsidR="00BE2765" w:rsidRPr="00CB1DB8" w:rsidRDefault="00BE2765" w:rsidP="00BE2765">
      <w:pPr>
        <w:pStyle w:val="ListParagraph"/>
        <w:widowControl/>
        <w:numPr>
          <w:ilvl w:val="1"/>
          <w:numId w:val="47"/>
        </w:numPr>
        <w:autoSpaceDE/>
        <w:autoSpaceDN/>
        <w:adjustRightInd/>
        <w:snapToGrid w:val="0"/>
        <w:spacing w:before="0" w:beforeAutospacing="0" w:after="120" w:line="240" w:lineRule="auto"/>
        <w:ind w:left="1080" w:firstLineChars="0"/>
      </w:pPr>
      <w:r w:rsidRPr="00CB1DB8">
        <w:rPr>
          <w:bCs/>
          <w:iCs/>
        </w:rPr>
        <w:lastRenderedPageBreak/>
        <w:t>Granularity: Per</w:t>
      </w:r>
      <w:r w:rsidRPr="00CB1DB8">
        <w:t>-UE</w:t>
      </w:r>
    </w:p>
    <w:p w14:paraId="5A32EDEF" w14:textId="77777777" w:rsidR="00BE2765" w:rsidRPr="00CB1DB8" w:rsidRDefault="00BE2765" w:rsidP="00BE2765">
      <w:pPr>
        <w:pStyle w:val="ListParagraph"/>
        <w:widowControl/>
        <w:numPr>
          <w:ilvl w:val="1"/>
          <w:numId w:val="47"/>
        </w:numPr>
        <w:autoSpaceDE/>
        <w:autoSpaceDN/>
        <w:adjustRightInd/>
        <w:snapToGrid w:val="0"/>
        <w:spacing w:before="0" w:beforeAutospacing="0" w:after="120" w:line="240" w:lineRule="auto"/>
        <w:ind w:left="1080" w:firstLineChars="0"/>
      </w:pPr>
      <w:r w:rsidRPr="00CB1DB8">
        <w:t>FDD/TDD differentiation: No</w:t>
      </w:r>
    </w:p>
    <w:p w14:paraId="6EDEDAAA" w14:textId="77777777" w:rsidR="00BE2765" w:rsidRPr="00CB1DB8" w:rsidRDefault="00BE2765" w:rsidP="00BE2765">
      <w:pPr>
        <w:pStyle w:val="ListParagraph"/>
        <w:widowControl/>
        <w:numPr>
          <w:ilvl w:val="1"/>
          <w:numId w:val="47"/>
        </w:numPr>
        <w:autoSpaceDE/>
        <w:autoSpaceDN/>
        <w:adjustRightInd/>
        <w:snapToGrid w:val="0"/>
        <w:spacing w:before="0" w:beforeAutospacing="0" w:after="120" w:line="240" w:lineRule="auto"/>
        <w:ind w:left="1080" w:firstLineChars="0"/>
      </w:pPr>
      <w:r w:rsidRPr="00CB1DB8">
        <w:t>FR1/FR2 differentiation: Yes</w:t>
      </w:r>
    </w:p>
    <w:p w14:paraId="76779AB9" w14:textId="77777777" w:rsidR="00BE2765" w:rsidRPr="00CB1DB8" w:rsidRDefault="00BE2765" w:rsidP="00BE2765">
      <w:pPr>
        <w:pStyle w:val="ListParagraph"/>
        <w:widowControl/>
        <w:numPr>
          <w:ilvl w:val="0"/>
          <w:numId w:val="47"/>
        </w:numPr>
        <w:autoSpaceDE/>
        <w:autoSpaceDN/>
        <w:adjustRightInd/>
        <w:snapToGrid w:val="0"/>
        <w:spacing w:before="0" w:beforeAutospacing="0" w:after="120" w:line="240" w:lineRule="auto"/>
        <w:ind w:left="360" w:firstLineChars="0"/>
      </w:pPr>
      <w:r w:rsidRPr="00CB1DB8">
        <w:t xml:space="preserve">Option 2: Not to introduce additional UE capability </w:t>
      </w:r>
    </w:p>
    <w:p w14:paraId="46C07A37" w14:textId="0896C9C4" w:rsidR="00BE2765" w:rsidRDefault="00BE2765" w:rsidP="00482187">
      <w:pPr>
        <w:rPr>
          <w:lang w:val="x-none"/>
        </w:rPr>
      </w:pPr>
      <w:r>
        <w:rPr>
          <w:lang w:val="x-none"/>
        </w:rPr>
        <w:t>Note that EMR enhancement reporting was introduced in R18. With enhanced EMR report, Scell activation latency can be reduced since the Scell is considered as ‘known’ after UE report. in other word, R18 UE can meet known cell activation delay requirement. However, the new requirements which are introduced in R19 are tightened compared with legacy known Scell activation delay (number of samples are reduced). Therefore, further enhancement is needed for UE supporting R18 EMR in order to support R19 EMR Scell activation delay requirements. So a new UE capability is necessary.</w:t>
      </w:r>
    </w:p>
    <w:p w14:paraId="3D35917C" w14:textId="7387EFB7" w:rsidR="00BE2765" w:rsidRPr="001B74B9" w:rsidRDefault="00BE2765" w:rsidP="00BE2765">
      <w:pPr>
        <w:pStyle w:val="Caption"/>
        <w:rPr>
          <w:b w:val="0"/>
          <w:bCs w:val="0"/>
          <w:lang w:val="x-none"/>
        </w:rPr>
      </w:pPr>
      <w:r w:rsidRPr="001B74B9">
        <w:rPr>
          <w:b w:val="0"/>
          <w:bCs w:val="0"/>
        </w:rPr>
        <w:t xml:space="preserve">Observation </w:t>
      </w:r>
      <w:r w:rsidRPr="001B74B9">
        <w:rPr>
          <w:b w:val="0"/>
          <w:bCs w:val="0"/>
        </w:rPr>
        <w:fldChar w:fldCharType="begin"/>
      </w:r>
      <w:r w:rsidRPr="001B74B9">
        <w:rPr>
          <w:b w:val="0"/>
          <w:bCs w:val="0"/>
        </w:rPr>
        <w:instrText xml:space="preserve"> SEQ Observation \* ARABIC </w:instrText>
      </w:r>
      <w:r w:rsidRPr="001B74B9">
        <w:rPr>
          <w:b w:val="0"/>
          <w:bCs w:val="0"/>
        </w:rPr>
        <w:fldChar w:fldCharType="separate"/>
      </w:r>
      <w:r w:rsidRPr="001B74B9">
        <w:rPr>
          <w:b w:val="0"/>
          <w:bCs w:val="0"/>
          <w:noProof/>
        </w:rPr>
        <w:t>1</w:t>
      </w:r>
      <w:r w:rsidRPr="001B74B9">
        <w:rPr>
          <w:b w:val="0"/>
          <w:bCs w:val="0"/>
          <w:noProof/>
        </w:rPr>
        <w:fldChar w:fldCharType="end"/>
      </w:r>
      <w:r w:rsidRPr="001B74B9">
        <w:rPr>
          <w:b w:val="0"/>
          <w:bCs w:val="0"/>
        </w:rPr>
        <w:t xml:space="preserve">: </w:t>
      </w:r>
      <w:r w:rsidRPr="001B74B9">
        <w:rPr>
          <w:b w:val="0"/>
          <w:bCs w:val="0"/>
          <w:lang w:val="x-none"/>
        </w:rPr>
        <w:t xml:space="preserve">further enhancement is needed for UE supporting R18 EMR </w:t>
      </w:r>
      <w:proofErr w:type="gramStart"/>
      <w:r w:rsidRPr="001B74B9">
        <w:rPr>
          <w:b w:val="0"/>
          <w:bCs w:val="0"/>
          <w:lang w:val="x-none"/>
        </w:rPr>
        <w:t>in order to</w:t>
      </w:r>
      <w:proofErr w:type="gramEnd"/>
      <w:r w:rsidRPr="001B74B9">
        <w:rPr>
          <w:b w:val="0"/>
          <w:bCs w:val="0"/>
          <w:lang w:val="x-none"/>
        </w:rPr>
        <w:t xml:space="preserve"> support R19 EMR Scell activation delay requirements.</w:t>
      </w:r>
    </w:p>
    <w:p w14:paraId="6847CF70" w14:textId="20F1DF46" w:rsidR="00BE2765" w:rsidRPr="001B74B9" w:rsidRDefault="001B74B9" w:rsidP="001B74B9">
      <w:pPr>
        <w:pStyle w:val="Caption"/>
        <w:rPr>
          <w:b w:val="0"/>
          <w:bCs w:val="0"/>
          <w:lang w:val="x-none"/>
        </w:rPr>
      </w:pPr>
      <w:r>
        <w:rPr>
          <w:b w:val="0"/>
          <w:bCs w:val="0"/>
          <w:lang w:val="x-none"/>
        </w:rPr>
        <w:t>A</w:t>
      </w:r>
      <w:r w:rsidR="00BE2765" w:rsidRPr="001B74B9">
        <w:rPr>
          <w:b w:val="0"/>
          <w:bCs w:val="0"/>
          <w:lang w:val="x-none"/>
        </w:rPr>
        <w:t xml:space="preserve"> new UE capability is necessary for R19 EMR enhancement</w:t>
      </w:r>
      <w:r>
        <w:rPr>
          <w:b w:val="0"/>
          <w:bCs w:val="0"/>
          <w:lang w:val="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557"/>
        <w:gridCol w:w="1077"/>
        <w:gridCol w:w="1336"/>
        <w:gridCol w:w="708"/>
        <w:gridCol w:w="851"/>
        <w:gridCol w:w="874"/>
        <w:gridCol w:w="1077"/>
        <w:gridCol w:w="1619"/>
        <w:gridCol w:w="720"/>
        <w:gridCol w:w="714"/>
        <w:gridCol w:w="1054"/>
        <w:gridCol w:w="1179"/>
        <w:gridCol w:w="1436"/>
      </w:tblGrid>
      <w:tr w:rsidR="00BE2765" w:rsidRPr="007F3825" w14:paraId="3CF4611A" w14:textId="77777777" w:rsidTr="00522775">
        <w:trPr>
          <w:trHeight w:val="20"/>
        </w:trPr>
        <w:tc>
          <w:tcPr>
            <w:tcW w:w="377" w:type="pct"/>
          </w:tcPr>
          <w:p w14:paraId="1E895A4D"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Features</w:t>
            </w:r>
          </w:p>
        </w:tc>
        <w:tc>
          <w:tcPr>
            <w:tcW w:w="195" w:type="pct"/>
          </w:tcPr>
          <w:p w14:paraId="165A093A"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Index</w:t>
            </w:r>
          </w:p>
        </w:tc>
        <w:tc>
          <w:tcPr>
            <w:tcW w:w="377" w:type="pct"/>
          </w:tcPr>
          <w:p w14:paraId="1720B3F7"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Feature group</w:t>
            </w:r>
          </w:p>
        </w:tc>
        <w:tc>
          <w:tcPr>
            <w:tcW w:w="468" w:type="pct"/>
          </w:tcPr>
          <w:p w14:paraId="5CA4BF8E" w14:textId="77777777" w:rsidR="00BE2765" w:rsidRPr="00497FC7" w:rsidRDefault="00BE2765" w:rsidP="00522775">
            <w:pPr>
              <w:keepNext/>
              <w:keepLines/>
              <w:jc w:val="center"/>
              <w:rPr>
                <w:rFonts w:ascii="Arial" w:hAnsi="Arial" w:cs="Arial"/>
                <w:b/>
                <w:sz w:val="13"/>
                <w:szCs w:val="13"/>
              </w:rPr>
            </w:pPr>
            <w:r w:rsidRPr="00497FC7">
              <w:rPr>
                <w:rFonts w:ascii="Arial" w:hAnsi="Arial" w:cs="Arial"/>
                <w:b/>
                <w:sz w:val="13"/>
                <w:szCs w:val="13"/>
              </w:rPr>
              <w:t>Components</w:t>
            </w:r>
          </w:p>
          <w:p w14:paraId="37558699" w14:textId="77777777" w:rsidR="00BE2765" w:rsidRPr="007F3825" w:rsidRDefault="00BE2765" w:rsidP="00522775">
            <w:pPr>
              <w:keepNext/>
              <w:keepLines/>
              <w:jc w:val="center"/>
              <w:rPr>
                <w:rFonts w:ascii="Arial" w:hAnsi="Arial" w:cs="Arial"/>
                <w:b/>
                <w:sz w:val="13"/>
                <w:szCs w:val="13"/>
              </w:rPr>
            </w:pPr>
          </w:p>
        </w:tc>
        <w:tc>
          <w:tcPr>
            <w:tcW w:w="248" w:type="pct"/>
          </w:tcPr>
          <w:p w14:paraId="67197784"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Prerequisite feature groups</w:t>
            </w:r>
          </w:p>
        </w:tc>
        <w:tc>
          <w:tcPr>
            <w:tcW w:w="298" w:type="pct"/>
          </w:tcPr>
          <w:p w14:paraId="570AFE49"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Need for the gNB to know if the feature is supported</w:t>
            </w:r>
          </w:p>
        </w:tc>
        <w:tc>
          <w:tcPr>
            <w:tcW w:w="306" w:type="pct"/>
          </w:tcPr>
          <w:p w14:paraId="5BCA0F9C" w14:textId="77777777" w:rsidR="00BE2765" w:rsidRPr="007F3825" w:rsidRDefault="00BE2765" w:rsidP="00522775">
            <w:pPr>
              <w:keepNext/>
              <w:keepLines/>
              <w:jc w:val="center"/>
              <w:rPr>
                <w:rFonts w:ascii="Arial" w:hAnsi="Arial" w:cs="Arial"/>
                <w:b/>
                <w:sz w:val="13"/>
                <w:szCs w:val="13"/>
              </w:rPr>
            </w:pPr>
            <w:r w:rsidRPr="00497FC7">
              <w:rPr>
                <w:rFonts w:ascii="Arial" w:eastAsia="Gulim" w:hAnsi="Arial" w:cs="Arial"/>
                <w:b/>
                <w:sz w:val="13"/>
                <w:szCs w:val="13"/>
              </w:rPr>
              <w:t xml:space="preserve">Applicable to </w:t>
            </w:r>
            <w:r w:rsidRPr="00497FC7">
              <w:rPr>
                <w:rFonts w:ascii="Arial" w:hAnsi="Arial" w:cs="Arial"/>
                <w:b/>
                <w:sz w:val="13"/>
                <w:szCs w:val="13"/>
              </w:rPr>
              <w:t>the capability signalling exchange between UEs (V2X WI only)”.</w:t>
            </w:r>
          </w:p>
        </w:tc>
        <w:tc>
          <w:tcPr>
            <w:tcW w:w="377" w:type="pct"/>
          </w:tcPr>
          <w:p w14:paraId="71C5AC62" w14:textId="77777777" w:rsidR="00BE2765" w:rsidRPr="007F3825" w:rsidRDefault="00BE2765" w:rsidP="00522775">
            <w:pPr>
              <w:keepNext/>
              <w:keepLines/>
              <w:rPr>
                <w:rFonts w:ascii="Arial" w:hAnsi="Arial" w:cs="Arial"/>
                <w:b/>
                <w:sz w:val="13"/>
                <w:szCs w:val="13"/>
              </w:rPr>
            </w:pPr>
            <w:r w:rsidRPr="00497FC7">
              <w:rPr>
                <w:rFonts w:ascii="Arial" w:hAnsi="Arial" w:cs="Arial"/>
                <w:b/>
                <w:sz w:val="13"/>
                <w:szCs w:val="13"/>
              </w:rPr>
              <w:t>Consequence if the feature is not supported by the UE</w:t>
            </w:r>
          </w:p>
        </w:tc>
        <w:tc>
          <w:tcPr>
            <w:tcW w:w="567" w:type="pct"/>
          </w:tcPr>
          <w:p w14:paraId="47732E34" w14:textId="77777777" w:rsidR="00BE2765" w:rsidRPr="007F3825" w:rsidRDefault="00BE2765" w:rsidP="00522775">
            <w:pPr>
              <w:keepNext/>
              <w:keepLines/>
              <w:rPr>
                <w:rFonts w:ascii="Arial" w:hAnsi="Arial" w:cs="Arial"/>
                <w:b/>
                <w:sz w:val="13"/>
                <w:szCs w:val="13"/>
              </w:rPr>
            </w:pPr>
            <w:r w:rsidRPr="00497FC7">
              <w:rPr>
                <w:rFonts w:ascii="Arial" w:hAnsi="Arial" w:cs="Arial"/>
                <w:b/>
                <w:sz w:val="13"/>
                <w:szCs w:val="13"/>
              </w:rPr>
              <w:t>Type (the ‘type’ definition from UE features should be based on the granularity of 1) Per UE or 2) Per Band or 3) Per BC or 4) Per FS or 5) Per FSPC)</w:t>
            </w:r>
          </w:p>
        </w:tc>
        <w:tc>
          <w:tcPr>
            <w:tcW w:w="252" w:type="pct"/>
          </w:tcPr>
          <w:p w14:paraId="28C04B72"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Need of FDD/TDD differentiation</w:t>
            </w:r>
          </w:p>
        </w:tc>
        <w:tc>
          <w:tcPr>
            <w:tcW w:w="250" w:type="pct"/>
          </w:tcPr>
          <w:p w14:paraId="741B23FC"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Need of FR1/FR2 differentiation</w:t>
            </w:r>
          </w:p>
        </w:tc>
        <w:tc>
          <w:tcPr>
            <w:tcW w:w="369" w:type="pct"/>
          </w:tcPr>
          <w:p w14:paraId="50407701"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Capability interpretation for mixture of FDD/TDD and/or FR1/FR2</w:t>
            </w:r>
          </w:p>
        </w:tc>
        <w:tc>
          <w:tcPr>
            <w:tcW w:w="413" w:type="pct"/>
          </w:tcPr>
          <w:p w14:paraId="54222FF6"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Note</w:t>
            </w:r>
          </w:p>
        </w:tc>
        <w:tc>
          <w:tcPr>
            <w:tcW w:w="503" w:type="pct"/>
          </w:tcPr>
          <w:p w14:paraId="3E96DEF6" w14:textId="77777777" w:rsidR="00BE2765" w:rsidRPr="007F3825" w:rsidRDefault="00BE2765" w:rsidP="00522775">
            <w:pPr>
              <w:keepNext/>
              <w:keepLines/>
              <w:jc w:val="center"/>
              <w:rPr>
                <w:rFonts w:ascii="Arial" w:hAnsi="Arial" w:cs="Arial"/>
                <w:b/>
                <w:sz w:val="13"/>
                <w:szCs w:val="13"/>
              </w:rPr>
            </w:pPr>
            <w:r w:rsidRPr="00497FC7">
              <w:rPr>
                <w:rFonts w:ascii="Arial" w:hAnsi="Arial" w:cs="Arial"/>
                <w:b/>
                <w:sz w:val="13"/>
                <w:szCs w:val="13"/>
              </w:rPr>
              <w:t>Mandatory/Optional</w:t>
            </w:r>
          </w:p>
        </w:tc>
      </w:tr>
      <w:tr w:rsidR="00BE2765" w:rsidRPr="007F3825" w14:paraId="2F189BED" w14:textId="77777777" w:rsidTr="00522775">
        <w:trPr>
          <w:trHeight w:val="20"/>
        </w:trPr>
        <w:tc>
          <w:tcPr>
            <w:tcW w:w="377" w:type="pct"/>
          </w:tcPr>
          <w:p w14:paraId="1B1D1B61"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49</w:t>
            </w:r>
            <w:r w:rsidRPr="00BE2765">
              <w:rPr>
                <w:rFonts w:ascii="Arial" w:eastAsiaTheme="minorEastAsia" w:hAnsi="Arial" w:cs="Arial" w:hint="eastAsia"/>
                <w:sz w:val="13"/>
                <w:szCs w:val="13"/>
              </w:rPr>
              <w:t xml:space="preserve">. </w:t>
            </w:r>
            <w:r w:rsidRPr="00BE2765">
              <w:rPr>
                <w:rFonts w:ascii="Arial" w:eastAsiaTheme="minorEastAsia" w:hAnsi="Arial" w:cs="Arial"/>
                <w:sz w:val="13"/>
                <w:szCs w:val="13"/>
              </w:rPr>
              <w:t>NR_RRM_Ph5</w:t>
            </w:r>
          </w:p>
          <w:p w14:paraId="46B014B5" w14:textId="77777777" w:rsidR="00BE2765" w:rsidRPr="00497FC7" w:rsidRDefault="00BE2765" w:rsidP="00522775">
            <w:pPr>
              <w:keepNext/>
              <w:keepLines/>
              <w:rPr>
                <w:rFonts w:ascii="Arial" w:eastAsiaTheme="minorEastAsia" w:hAnsi="Arial" w:cs="Arial"/>
                <w:sz w:val="13"/>
                <w:szCs w:val="13"/>
              </w:rPr>
            </w:pPr>
          </w:p>
        </w:tc>
        <w:tc>
          <w:tcPr>
            <w:tcW w:w="195" w:type="pct"/>
          </w:tcPr>
          <w:p w14:paraId="6C172DA1" w14:textId="2C1F95B4" w:rsidR="00BE2765" w:rsidRPr="00497FC7"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49</w:t>
            </w:r>
            <w:r w:rsidRPr="00BE2765">
              <w:rPr>
                <w:rFonts w:ascii="Arial" w:eastAsiaTheme="minorEastAsia" w:hAnsi="Arial" w:cs="Arial" w:hint="eastAsia"/>
                <w:sz w:val="13"/>
                <w:szCs w:val="13"/>
              </w:rPr>
              <w:t>-</w:t>
            </w:r>
            <w:r>
              <w:rPr>
                <w:rFonts w:ascii="Arial" w:eastAsiaTheme="minorEastAsia" w:hAnsi="Arial" w:cs="Arial"/>
                <w:sz w:val="13"/>
                <w:szCs w:val="13"/>
              </w:rPr>
              <w:t>x</w:t>
            </w:r>
          </w:p>
        </w:tc>
        <w:tc>
          <w:tcPr>
            <w:tcW w:w="377" w:type="pct"/>
          </w:tcPr>
          <w:p w14:paraId="503E7D70" w14:textId="77777777" w:rsidR="00BE2765" w:rsidRPr="00497FC7"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Fast SCell activation based on early measurement report</w:t>
            </w:r>
          </w:p>
        </w:tc>
        <w:tc>
          <w:tcPr>
            <w:tcW w:w="468" w:type="pct"/>
          </w:tcPr>
          <w:p w14:paraId="085F0696" w14:textId="77777777" w:rsidR="00BE2765" w:rsidRPr="00497FC7"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Supports fast SCell activation specified in TS38.133 clause 8.3.2A</w:t>
            </w:r>
          </w:p>
        </w:tc>
        <w:tc>
          <w:tcPr>
            <w:tcW w:w="248" w:type="pct"/>
          </w:tcPr>
          <w:p w14:paraId="408C5440"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39-8 or 39-9 in R18 RAN4 feature list</w:t>
            </w:r>
          </w:p>
        </w:tc>
        <w:tc>
          <w:tcPr>
            <w:tcW w:w="298" w:type="pct"/>
          </w:tcPr>
          <w:p w14:paraId="6288F816"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No</w:t>
            </w:r>
          </w:p>
        </w:tc>
        <w:tc>
          <w:tcPr>
            <w:tcW w:w="306" w:type="pct"/>
          </w:tcPr>
          <w:p w14:paraId="3BA23FDB"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N/A</w:t>
            </w:r>
          </w:p>
        </w:tc>
        <w:tc>
          <w:tcPr>
            <w:tcW w:w="377" w:type="pct"/>
          </w:tcPr>
          <w:p w14:paraId="5A78828F"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UE cannot meet fast SCell activation requirements as specified in TS38.133 clause 8.3.2A</w:t>
            </w:r>
          </w:p>
        </w:tc>
        <w:tc>
          <w:tcPr>
            <w:tcW w:w="567" w:type="pct"/>
          </w:tcPr>
          <w:p w14:paraId="5C358529"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Per-UE</w:t>
            </w:r>
          </w:p>
        </w:tc>
        <w:tc>
          <w:tcPr>
            <w:tcW w:w="252" w:type="pct"/>
          </w:tcPr>
          <w:p w14:paraId="0C424E3D"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No</w:t>
            </w:r>
          </w:p>
        </w:tc>
        <w:tc>
          <w:tcPr>
            <w:tcW w:w="250" w:type="pct"/>
          </w:tcPr>
          <w:p w14:paraId="66C0338E"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No</w:t>
            </w:r>
          </w:p>
        </w:tc>
        <w:tc>
          <w:tcPr>
            <w:tcW w:w="369" w:type="pct"/>
          </w:tcPr>
          <w:p w14:paraId="7686ADAB" w14:textId="77777777" w:rsidR="00BE2765" w:rsidRPr="00BE2765" w:rsidRDefault="00BE2765" w:rsidP="00522775">
            <w:pPr>
              <w:keepNext/>
              <w:keepLines/>
              <w:rPr>
                <w:rFonts w:ascii="Arial" w:eastAsiaTheme="minorEastAsia" w:hAnsi="Arial" w:cs="Arial"/>
                <w:sz w:val="13"/>
                <w:szCs w:val="13"/>
              </w:rPr>
            </w:pPr>
          </w:p>
        </w:tc>
        <w:tc>
          <w:tcPr>
            <w:tcW w:w="413" w:type="pct"/>
            <w:vAlign w:val="center"/>
          </w:tcPr>
          <w:p w14:paraId="27C16638" w14:textId="77777777" w:rsidR="00BE2765" w:rsidRPr="00BE2765" w:rsidRDefault="00BE2765" w:rsidP="00522775">
            <w:pPr>
              <w:keepNext/>
              <w:keepLines/>
              <w:rPr>
                <w:rFonts w:ascii="Arial" w:eastAsiaTheme="minorEastAsia" w:hAnsi="Arial" w:cs="Arial"/>
                <w:sz w:val="13"/>
                <w:szCs w:val="13"/>
              </w:rPr>
            </w:pPr>
          </w:p>
        </w:tc>
        <w:tc>
          <w:tcPr>
            <w:tcW w:w="503" w:type="pct"/>
            <w:vAlign w:val="center"/>
          </w:tcPr>
          <w:p w14:paraId="417B37CD" w14:textId="77777777" w:rsidR="00BE2765" w:rsidRPr="00BE2765" w:rsidRDefault="00BE2765" w:rsidP="00522775">
            <w:pPr>
              <w:keepNext/>
              <w:keepLines/>
              <w:rPr>
                <w:rFonts w:ascii="Arial" w:eastAsiaTheme="minorEastAsia" w:hAnsi="Arial" w:cs="Arial"/>
                <w:sz w:val="13"/>
                <w:szCs w:val="13"/>
              </w:rPr>
            </w:pPr>
            <w:r w:rsidRPr="00BE2765">
              <w:rPr>
                <w:rFonts w:ascii="Arial" w:eastAsiaTheme="minorEastAsia" w:hAnsi="Arial" w:cs="Arial"/>
                <w:sz w:val="13"/>
                <w:szCs w:val="13"/>
              </w:rPr>
              <w:t>Optional without capability signaling</w:t>
            </w:r>
          </w:p>
        </w:tc>
      </w:tr>
    </w:tbl>
    <w:p w14:paraId="601847DA" w14:textId="77777777" w:rsidR="00BE2765" w:rsidRPr="006D1C9C" w:rsidRDefault="00BE2765" w:rsidP="00482187"/>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348C684C" w:rsidR="00724F2D" w:rsidRDefault="009715AE" w:rsidP="00AD72A3">
      <w:pPr>
        <w:spacing w:before="0" w:beforeAutospacing="0"/>
        <w:jc w:val="both"/>
      </w:pPr>
      <w:r>
        <w:rPr>
          <w:rFonts w:hint="eastAsia"/>
        </w:rPr>
        <w:t>In</w:t>
      </w:r>
      <w:r>
        <w:t xml:space="preserve"> this contribution, we discuss the UE capability and feature groups for RRM phase 5 WI.</w:t>
      </w:r>
      <w:r w:rsidR="00724F2D">
        <w:t xml:space="preserve"> </w:t>
      </w:r>
    </w:p>
    <w:p w14:paraId="5BE6CAED" w14:textId="0AC0F35D" w:rsidR="00F71FD5" w:rsidRPr="009715AE" w:rsidRDefault="00712CC1" w:rsidP="009715AE">
      <w:pPr>
        <w:pStyle w:val="Heading1"/>
        <w:pBdr>
          <w:top w:val="single" w:sz="12" w:space="2" w:color="auto"/>
        </w:pBdr>
        <w:jc w:val="both"/>
        <w:rPr>
          <w:sz w:val="32"/>
        </w:rPr>
      </w:pPr>
      <w:r w:rsidRPr="00B7162C">
        <w:rPr>
          <w:rFonts w:hint="eastAsia"/>
          <w:sz w:val="32"/>
        </w:rPr>
        <w:lastRenderedPageBreak/>
        <w:t>References</w:t>
      </w:r>
    </w:p>
    <w:sectPr w:rsidR="00F71FD5" w:rsidRPr="009715AE" w:rsidSect="00FC031A">
      <w:headerReference w:type="even" r:id="rId8"/>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4C3A" w14:textId="77777777" w:rsidR="008D15A7" w:rsidRDefault="008D15A7">
      <w:pPr>
        <w:spacing w:after="0"/>
      </w:pPr>
      <w:r>
        <w:separator/>
      </w:r>
    </w:p>
  </w:endnote>
  <w:endnote w:type="continuationSeparator" w:id="0">
    <w:p w14:paraId="73F792A6" w14:textId="77777777" w:rsidR="008D15A7" w:rsidRDefault="008D15A7">
      <w:pPr>
        <w:spacing w:after="0"/>
      </w:pPr>
      <w:r>
        <w:continuationSeparator/>
      </w:r>
    </w:p>
  </w:endnote>
  <w:endnote w:type="continuationNotice" w:id="1">
    <w:p w14:paraId="55773B34" w14:textId="77777777" w:rsidR="008D15A7" w:rsidRDefault="008D1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F08BB" w14:textId="77777777" w:rsidR="008D15A7" w:rsidRDefault="008D15A7">
      <w:pPr>
        <w:spacing w:after="0"/>
      </w:pPr>
      <w:r>
        <w:separator/>
      </w:r>
    </w:p>
  </w:footnote>
  <w:footnote w:type="continuationSeparator" w:id="0">
    <w:p w14:paraId="237DA033" w14:textId="77777777" w:rsidR="008D15A7" w:rsidRDefault="008D15A7">
      <w:pPr>
        <w:spacing w:after="0"/>
      </w:pPr>
      <w:r>
        <w:continuationSeparator/>
      </w:r>
    </w:p>
  </w:footnote>
  <w:footnote w:type="continuationNotice" w:id="1">
    <w:p w14:paraId="734C2FA5" w14:textId="77777777" w:rsidR="008D15A7" w:rsidRDefault="008D1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4A4A4A"/>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6"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7"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9A47715"/>
    <w:multiLevelType w:val="hybridMultilevel"/>
    <w:tmpl w:val="5B6C9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1"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6"/>
  </w:num>
  <w:num w:numId="5" w16cid:durableId="11954609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1"/>
  </w:num>
  <w:num w:numId="8" w16cid:durableId="1366058220">
    <w:abstractNumId w:val="8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6"/>
  </w:num>
  <w:num w:numId="11" w16cid:durableId="149099479">
    <w:abstractNumId w:val="19"/>
  </w:num>
  <w:num w:numId="12" w16cid:durableId="1616984003">
    <w:abstractNumId w:val="18"/>
  </w:num>
  <w:num w:numId="13" w16cid:durableId="750152965">
    <w:abstractNumId w:val="19"/>
  </w:num>
  <w:num w:numId="14" w16cid:durableId="605311633">
    <w:abstractNumId w:val="66"/>
  </w:num>
  <w:num w:numId="15" w16cid:durableId="460079133">
    <w:abstractNumId w:val="28"/>
  </w:num>
  <w:num w:numId="16" w16cid:durableId="276446526">
    <w:abstractNumId w:val="65"/>
  </w:num>
  <w:num w:numId="17" w16cid:durableId="1118335681">
    <w:abstractNumId w:val="24"/>
  </w:num>
  <w:num w:numId="18" w16cid:durableId="2138790634">
    <w:abstractNumId w:val="73"/>
  </w:num>
  <w:num w:numId="19" w16cid:durableId="871263985">
    <w:abstractNumId w:val="55"/>
  </w:num>
  <w:num w:numId="20" w16cid:durableId="503979282">
    <w:abstractNumId w:val="58"/>
  </w:num>
  <w:num w:numId="21" w16cid:durableId="698748926">
    <w:abstractNumId w:val="12"/>
  </w:num>
  <w:num w:numId="22" w16cid:durableId="75826173">
    <w:abstractNumId w:val="46"/>
  </w:num>
  <w:num w:numId="23" w16cid:durableId="2096512629">
    <w:abstractNumId w:val="27"/>
  </w:num>
  <w:num w:numId="24" w16cid:durableId="2061901449">
    <w:abstractNumId w:val="48"/>
  </w:num>
  <w:num w:numId="25" w16cid:durableId="272517434">
    <w:abstractNumId w:val="70"/>
  </w:num>
  <w:num w:numId="26" w16cid:durableId="123037006">
    <w:abstractNumId w:val="23"/>
  </w:num>
  <w:num w:numId="27" w16cid:durableId="1118797727">
    <w:abstractNumId w:val="40"/>
  </w:num>
  <w:num w:numId="28" w16cid:durableId="1375735898">
    <w:abstractNumId w:val="7"/>
  </w:num>
  <w:num w:numId="29" w16cid:durableId="1659262811">
    <w:abstractNumId w:val="68"/>
  </w:num>
  <w:num w:numId="30" w16cid:durableId="1052773568">
    <w:abstractNumId w:val="74"/>
  </w:num>
  <w:num w:numId="31" w16cid:durableId="1266771755">
    <w:abstractNumId w:val="17"/>
  </w:num>
  <w:num w:numId="32" w16cid:durableId="959990827">
    <w:abstractNumId w:val="45"/>
  </w:num>
  <w:num w:numId="33" w16cid:durableId="1030061019">
    <w:abstractNumId w:val="43"/>
  </w:num>
  <w:num w:numId="34" w16cid:durableId="200678134">
    <w:abstractNumId w:val="41"/>
  </w:num>
  <w:num w:numId="35" w16cid:durableId="670137581">
    <w:abstractNumId w:val="20"/>
  </w:num>
  <w:num w:numId="36" w16cid:durableId="1612201060">
    <w:abstractNumId w:val="44"/>
  </w:num>
  <w:num w:numId="37" w16cid:durableId="412819145">
    <w:abstractNumId w:val="62"/>
  </w:num>
  <w:num w:numId="38" w16cid:durableId="2092072177">
    <w:abstractNumId w:val="78"/>
  </w:num>
  <w:num w:numId="39" w16cid:durableId="1945917103">
    <w:abstractNumId w:val="37"/>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9"/>
  </w:num>
  <w:num w:numId="47" w16cid:durableId="149255719">
    <w:abstractNumId w:val="56"/>
  </w:num>
  <w:num w:numId="48" w16cid:durableId="993993615">
    <w:abstractNumId w:val="52"/>
  </w:num>
  <w:num w:numId="49" w16cid:durableId="1611352692">
    <w:abstractNumId w:val="79"/>
  </w:num>
  <w:num w:numId="50" w16cid:durableId="161118814">
    <w:abstractNumId w:val="13"/>
  </w:num>
  <w:num w:numId="51" w16cid:durableId="97992680">
    <w:abstractNumId w:val="0"/>
  </w:num>
  <w:num w:numId="52" w16cid:durableId="1426807891">
    <w:abstractNumId w:val="22"/>
  </w:num>
  <w:num w:numId="53" w16cid:durableId="569540244">
    <w:abstractNumId w:val="31"/>
  </w:num>
  <w:num w:numId="54" w16cid:durableId="1700619509">
    <w:abstractNumId w:val="33"/>
  </w:num>
  <w:num w:numId="55" w16cid:durableId="530188826">
    <w:abstractNumId w:val="54"/>
  </w:num>
  <w:num w:numId="56" w16cid:durableId="1819564499">
    <w:abstractNumId w:val="26"/>
  </w:num>
  <w:num w:numId="57" w16cid:durableId="2137216427">
    <w:abstractNumId w:val="34"/>
  </w:num>
  <w:num w:numId="58" w16cid:durableId="1082140733">
    <w:abstractNumId w:val="14"/>
  </w:num>
  <w:num w:numId="59" w16cid:durableId="1983462274">
    <w:abstractNumId w:val="25"/>
  </w:num>
  <w:num w:numId="60" w16cid:durableId="1457409677">
    <w:abstractNumId w:val="50"/>
  </w:num>
  <w:num w:numId="61" w16cid:durableId="1937445521">
    <w:abstractNumId w:val="60"/>
  </w:num>
  <w:num w:numId="62" w16cid:durableId="80879075">
    <w:abstractNumId w:val="49"/>
  </w:num>
  <w:num w:numId="63" w16cid:durableId="1316569750">
    <w:abstractNumId w:val="38"/>
  </w:num>
  <w:num w:numId="64" w16cid:durableId="1832595133">
    <w:abstractNumId w:val="42"/>
  </w:num>
  <w:num w:numId="65" w16cid:durableId="833645931">
    <w:abstractNumId w:val="8"/>
  </w:num>
  <w:num w:numId="66" w16cid:durableId="2063484805">
    <w:abstractNumId w:val="71"/>
  </w:num>
  <w:num w:numId="67" w16cid:durableId="321350569">
    <w:abstractNumId w:val="63"/>
  </w:num>
  <w:num w:numId="68" w16cid:durableId="1232811557">
    <w:abstractNumId w:val="59"/>
  </w:num>
  <w:num w:numId="69" w16cid:durableId="1525055182">
    <w:abstractNumId w:val="61"/>
  </w:num>
  <w:num w:numId="70" w16cid:durableId="1901598448">
    <w:abstractNumId w:val="36"/>
  </w:num>
  <w:num w:numId="71" w16cid:durableId="67576763">
    <w:abstractNumId w:val="75"/>
  </w:num>
  <w:num w:numId="72" w16cid:durableId="798450685">
    <w:abstractNumId w:val="69"/>
  </w:num>
  <w:num w:numId="73" w16cid:durableId="791435480">
    <w:abstractNumId w:val="11"/>
  </w:num>
  <w:num w:numId="74" w16cid:durableId="1640497926">
    <w:abstractNumId w:val="77"/>
  </w:num>
  <w:num w:numId="75" w16cid:durableId="1979262820">
    <w:abstractNumId w:val="72"/>
  </w:num>
  <w:num w:numId="76" w16cid:durableId="916286161">
    <w:abstractNumId w:val="21"/>
  </w:num>
  <w:num w:numId="77" w16cid:durableId="2063359217">
    <w:abstractNumId w:val="57"/>
  </w:num>
  <w:num w:numId="78" w16cid:durableId="1942764330">
    <w:abstractNumId w:val="9"/>
  </w:num>
  <w:num w:numId="79" w16cid:durableId="1178618509">
    <w:abstractNumId w:val="47"/>
  </w:num>
  <w:num w:numId="80" w16cid:durableId="971210653">
    <w:abstractNumId w:val="53"/>
  </w:num>
  <w:num w:numId="81" w16cid:durableId="747339716">
    <w:abstractNumId w:val="64"/>
  </w:num>
  <w:num w:numId="82" w16cid:durableId="1412896529">
    <w:abstractNumId w:val="30"/>
  </w:num>
  <w:num w:numId="83" w16cid:durableId="58752721">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0CB3"/>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3F5"/>
    <w:rsid w:val="000A1E9C"/>
    <w:rsid w:val="000A2628"/>
    <w:rsid w:val="000A28AE"/>
    <w:rsid w:val="000A35F8"/>
    <w:rsid w:val="000A3CC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D7FA9"/>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01A"/>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CDF"/>
    <w:rsid w:val="00131FC6"/>
    <w:rsid w:val="001325E9"/>
    <w:rsid w:val="00132EBF"/>
    <w:rsid w:val="00132F37"/>
    <w:rsid w:val="00133A0A"/>
    <w:rsid w:val="001346E3"/>
    <w:rsid w:val="001352B6"/>
    <w:rsid w:val="00135330"/>
    <w:rsid w:val="00136107"/>
    <w:rsid w:val="00136139"/>
    <w:rsid w:val="00136887"/>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259"/>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87A70"/>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4B9"/>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23"/>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F1"/>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A7CF9"/>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0E1"/>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3612"/>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3F8B"/>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187"/>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37C2B"/>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52F"/>
    <w:rsid w:val="005C6832"/>
    <w:rsid w:val="005C688D"/>
    <w:rsid w:val="005C6C27"/>
    <w:rsid w:val="005C6EF7"/>
    <w:rsid w:val="005C6F3A"/>
    <w:rsid w:val="005C75D6"/>
    <w:rsid w:val="005D1422"/>
    <w:rsid w:val="005D17C2"/>
    <w:rsid w:val="005D1FA7"/>
    <w:rsid w:val="005D211C"/>
    <w:rsid w:val="005D23D1"/>
    <w:rsid w:val="005D3A5E"/>
    <w:rsid w:val="005D41F4"/>
    <w:rsid w:val="005D4625"/>
    <w:rsid w:val="005D463B"/>
    <w:rsid w:val="005D595E"/>
    <w:rsid w:val="005D64E5"/>
    <w:rsid w:val="005E1E9C"/>
    <w:rsid w:val="005E1FEF"/>
    <w:rsid w:val="005E2C2C"/>
    <w:rsid w:val="005E345A"/>
    <w:rsid w:val="005E4261"/>
    <w:rsid w:val="005E477E"/>
    <w:rsid w:val="005E480F"/>
    <w:rsid w:val="005E4CE0"/>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BC6"/>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3B08"/>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824"/>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1C9C"/>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4EB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242"/>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394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825"/>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52CE"/>
    <w:rsid w:val="00866398"/>
    <w:rsid w:val="00867271"/>
    <w:rsid w:val="0087111E"/>
    <w:rsid w:val="00871403"/>
    <w:rsid w:val="00873298"/>
    <w:rsid w:val="00873941"/>
    <w:rsid w:val="00873959"/>
    <w:rsid w:val="00874595"/>
    <w:rsid w:val="00874AEC"/>
    <w:rsid w:val="00875752"/>
    <w:rsid w:val="00876EF6"/>
    <w:rsid w:val="00876F74"/>
    <w:rsid w:val="00877907"/>
    <w:rsid w:val="008806E4"/>
    <w:rsid w:val="008809D5"/>
    <w:rsid w:val="00880DC8"/>
    <w:rsid w:val="00880E4F"/>
    <w:rsid w:val="0088277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1C98"/>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5A7"/>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5E17"/>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15AE"/>
    <w:rsid w:val="0097246A"/>
    <w:rsid w:val="00973033"/>
    <w:rsid w:val="009733F5"/>
    <w:rsid w:val="0097380E"/>
    <w:rsid w:val="00974856"/>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5D2"/>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16E"/>
    <w:rsid w:val="00A21108"/>
    <w:rsid w:val="00A21F09"/>
    <w:rsid w:val="00A23789"/>
    <w:rsid w:val="00A23F5F"/>
    <w:rsid w:val="00A251D4"/>
    <w:rsid w:val="00A265AA"/>
    <w:rsid w:val="00A2687D"/>
    <w:rsid w:val="00A26987"/>
    <w:rsid w:val="00A26E14"/>
    <w:rsid w:val="00A270EC"/>
    <w:rsid w:val="00A30237"/>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87B"/>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4312"/>
    <w:rsid w:val="00B45243"/>
    <w:rsid w:val="00B460AB"/>
    <w:rsid w:val="00B465B9"/>
    <w:rsid w:val="00B4739F"/>
    <w:rsid w:val="00B47797"/>
    <w:rsid w:val="00B50847"/>
    <w:rsid w:val="00B514F8"/>
    <w:rsid w:val="00B521EC"/>
    <w:rsid w:val="00B5268A"/>
    <w:rsid w:val="00B52F73"/>
    <w:rsid w:val="00B532C4"/>
    <w:rsid w:val="00B5342A"/>
    <w:rsid w:val="00B55FD8"/>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26B"/>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5A6D"/>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2765"/>
    <w:rsid w:val="00BE454B"/>
    <w:rsid w:val="00BE4AEE"/>
    <w:rsid w:val="00BE5C1E"/>
    <w:rsid w:val="00BE64A0"/>
    <w:rsid w:val="00BE65D8"/>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680"/>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67A4"/>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69F9"/>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2C82"/>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4215"/>
    <w:rsid w:val="00D34302"/>
    <w:rsid w:val="00D3588A"/>
    <w:rsid w:val="00D35BF9"/>
    <w:rsid w:val="00D35D79"/>
    <w:rsid w:val="00D369A9"/>
    <w:rsid w:val="00D40575"/>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76B"/>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2E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0A9"/>
    <w:rsid w:val="00DF6B6D"/>
    <w:rsid w:val="00DF7E69"/>
    <w:rsid w:val="00E00625"/>
    <w:rsid w:val="00E0144E"/>
    <w:rsid w:val="00E01544"/>
    <w:rsid w:val="00E018FF"/>
    <w:rsid w:val="00E01D86"/>
    <w:rsid w:val="00E02017"/>
    <w:rsid w:val="00E02F7C"/>
    <w:rsid w:val="00E03285"/>
    <w:rsid w:val="00E0370A"/>
    <w:rsid w:val="00E04F8C"/>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6408"/>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1410"/>
    <w:rsid w:val="00F62084"/>
    <w:rsid w:val="00F622DB"/>
    <w:rsid w:val="00F62598"/>
    <w:rsid w:val="00F628A2"/>
    <w:rsid w:val="00F62DC6"/>
    <w:rsid w:val="00F636A0"/>
    <w:rsid w:val="00F64A78"/>
    <w:rsid w:val="00F663DF"/>
    <w:rsid w:val="00F702AD"/>
    <w:rsid w:val="00F7051A"/>
    <w:rsid w:val="00F7132D"/>
    <w:rsid w:val="00F717B1"/>
    <w:rsid w:val="00F71FD5"/>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4CB"/>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31A"/>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TotalTime>
  <Pages>6</Pages>
  <Words>1053</Words>
  <Characters>6005</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[Apple_RAN4#116]</cp:lastModifiedBy>
  <cp:revision>5</cp:revision>
  <cp:lastPrinted>2016-08-05T18:54:00Z</cp:lastPrinted>
  <dcterms:created xsi:type="dcterms:W3CDTF">2025-08-13T05:01:00Z</dcterms:created>
  <dcterms:modified xsi:type="dcterms:W3CDTF">2025-08-15T16:35:00Z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